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4BD3" w14:textId="77777777" w:rsidR="0094480D" w:rsidRDefault="002B1EA5">
      <w:pPr>
        <w:pStyle w:val="1"/>
        <w:spacing w:before="156" w:after="156"/>
        <w:jc w:val="center"/>
      </w:pPr>
      <w:r>
        <w:rPr>
          <w:rFonts w:hint="eastAsia"/>
        </w:rPr>
        <w:t>基于灰色系统理论的绿色混凝土搅拌站综合评价应用研究</w:t>
      </w:r>
    </w:p>
    <w:p w14:paraId="1DC592DB" w14:textId="595D626E" w:rsidR="0094480D" w:rsidRDefault="002B1EA5">
      <w:pPr>
        <w:ind w:firstLine="480"/>
        <w:jc w:val="center"/>
        <w:rPr>
          <w:sz w:val="24"/>
          <w:szCs w:val="22"/>
        </w:rPr>
      </w:pPr>
      <w:r>
        <w:rPr>
          <w:rFonts w:hint="eastAsia"/>
          <w:sz w:val="24"/>
          <w:szCs w:val="22"/>
        </w:rPr>
        <w:t>李祖辉</w:t>
      </w:r>
      <w:r>
        <w:rPr>
          <w:rFonts w:hint="eastAsia"/>
          <w:sz w:val="24"/>
          <w:szCs w:val="22"/>
        </w:rPr>
        <w:t xml:space="preserve"> </w:t>
      </w:r>
      <w:r>
        <w:rPr>
          <w:rFonts w:hint="eastAsia"/>
          <w:sz w:val="24"/>
          <w:szCs w:val="22"/>
        </w:rPr>
        <w:t>张烨</w:t>
      </w:r>
    </w:p>
    <w:p w14:paraId="040567E9" w14:textId="77777777" w:rsidR="0097505F" w:rsidRDefault="0097505F" w:rsidP="0097505F">
      <w:pPr>
        <w:ind w:firstLine="480"/>
        <w:jc w:val="center"/>
        <w:rPr>
          <w:rFonts w:asciiTheme="minorEastAsia" w:hAnsiTheme="minorEastAsia" w:cstheme="minorEastAsia"/>
          <w:sz w:val="24"/>
        </w:rPr>
      </w:pPr>
      <w:r>
        <w:rPr>
          <w:rFonts w:asciiTheme="minorEastAsia" w:hAnsiTheme="minorEastAsia" w:cstheme="minorEastAsia" w:hint="eastAsia"/>
          <w:sz w:val="24"/>
        </w:rPr>
        <w:t>苏州中正工程检测有限公司</w:t>
      </w:r>
    </w:p>
    <w:p w14:paraId="6E960AD9" w14:textId="77777777" w:rsidR="0097505F" w:rsidRPr="0097505F" w:rsidRDefault="0097505F">
      <w:pPr>
        <w:ind w:firstLine="480"/>
        <w:jc w:val="center"/>
        <w:rPr>
          <w:rFonts w:hint="eastAsia"/>
          <w:sz w:val="24"/>
          <w:szCs w:val="22"/>
        </w:rPr>
      </w:pPr>
    </w:p>
    <w:p w14:paraId="3F9F8DB0" w14:textId="77777777" w:rsidR="0094480D" w:rsidRDefault="002B1EA5">
      <w:pPr>
        <w:spacing w:line="240" w:lineRule="auto"/>
        <w:ind w:firstLineChars="0" w:firstLine="0"/>
      </w:pPr>
      <w:r>
        <w:rPr>
          <w:rFonts w:hint="eastAsia"/>
          <w:b/>
          <w:bCs/>
          <w:sz w:val="24"/>
          <w:szCs w:val="22"/>
        </w:rPr>
        <w:t>摘要：</w:t>
      </w:r>
      <w:r>
        <w:rPr>
          <w:rFonts w:hint="eastAsia"/>
          <w:sz w:val="22"/>
          <w:szCs w:val="21"/>
        </w:rPr>
        <w:t>随着对环境保护意识的增强和可持续发展目标的追求，绿色建材特别是绿色混凝土的开发和应用成为建筑行业的重要趋势。绿色混凝土搅拌站作为绿色建材生产的关键环节，其综合性能评价对于推动行业的绿色转型和实现环境可持续性具有重要意义。这种评价不仅涉及环境保护，还包括经济效益和社会责任等多个维度，其复杂性和多元性要求使用一个全面且科学的评价方法。基于此，灰色系统理论以其在处理不确定性和不完整信息方面的优势，被认为是一种合适的评价工具。该理论能够有效处理评价过程中的复杂性和模糊性，为绿色混凝土搅拌站的综合评价提供了一个新的视</w:t>
      </w:r>
      <w:r>
        <w:rPr>
          <w:rFonts w:hint="eastAsia"/>
          <w:sz w:val="22"/>
          <w:szCs w:val="21"/>
        </w:rPr>
        <w:t>角。基于灰色系统理论，建立了一个包含多个维度和评价指标综合评价模型。研究表明：通过基于</w:t>
      </w:r>
      <w:r>
        <w:rPr>
          <w:rFonts w:hint="eastAsia"/>
          <w:sz w:val="22"/>
          <w:szCs w:val="21"/>
        </w:rPr>
        <w:t>灰色系统理论的绿色混凝土搅拌站综合评价模型对江苏省</w:t>
      </w:r>
      <w:r>
        <w:rPr>
          <w:rFonts w:hint="eastAsia"/>
          <w:sz w:val="22"/>
          <w:szCs w:val="21"/>
        </w:rPr>
        <w:t>A</w:t>
      </w:r>
      <w:r>
        <w:rPr>
          <w:rFonts w:hint="eastAsia"/>
          <w:sz w:val="22"/>
          <w:szCs w:val="21"/>
        </w:rPr>
        <w:t>绿色混凝土搅拌站进行综合评价，得出</w:t>
      </w:r>
      <w:r>
        <w:rPr>
          <w:rFonts w:hint="eastAsia"/>
          <w:sz w:val="22"/>
          <w:szCs w:val="21"/>
        </w:rPr>
        <w:t>A</w:t>
      </w:r>
      <w:r>
        <w:rPr>
          <w:rFonts w:hint="eastAsia"/>
          <w:sz w:val="22"/>
          <w:szCs w:val="21"/>
        </w:rPr>
        <w:t>绿色混凝土搅拌站的综合评分为</w:t>
      </w:r>
      <w:r>
        <w:rPr>
          <w:rFonts w:hint="eastAsia"/>
          <w:sz w:val="22"/>
          <w:szCs w:val="21"/>
        </w:rPr>
        <w:t>6.423</w:t>
      </w:r>
      <w:r>
        <w:rPr>
          <w:rFonts w:hint="eastAsia"/>
          <w:sz w:val="22"/>
          <w:szCs w:val="21"/>
        </w:rPr>
        <w:t>，介于合格和较好之间，基于该评价结果，提出了</w:t>
      </w:r>
      <w:r>
        <w:rPr>
          <w:rFonts w:hint="eastAsia"/>
          <w:sz w:val="22"/>
          <w:szCs w:val="21"/>
        </w:rPr>
        <w:t>A</w:t>
      </w:r>
      <w:r>
        <w:rPr>
          <w:rFonts w:hint="eastAsia"/>
          <w:sz w:val="22"/>
          <w:szCs w:val="21"/>
        </w:rPr>
        <w:t>绿色混凝土搅拌站在环境保护、经济效益、社会责任三个维度的改进建议</w:t>
      </w:r>
      <w:r>
        <w:rPr>
          <w:rFonts w:hint="eastAsia"/>
          <w:sz w:val="22"/>
          <w:szCs w:val="21"/>
        </w:rPr>
        <w:t>。</w:t>
      </w:r>
    </w:p>
    <w:p w14:paraId="670B6044" w14:textId="77777777" w:rsidR="0094480D" w:rsidRDefault="002B1EA5">
      <w:pPr>
        <w:ind w:firstLineChars="0" w:firstLine="0"/>
        <w:rPr>
          <w:sz w:val="22"/>
          <w:szCs w:val="21"/>
        </w:rPr>
      </w:pPr>
      <w:r>
        <w:rPr>
          <w:rFonts w:hint="eastAsia"/>
          <w:b/>
          <w:bCs/>
          <w:sz w:val="24"/>
          <w:szCs w:val="22"/>
        </w:rPr>
        <w:t>关键词：</w:t>
      </w:r>
      <w:r>
        <w:rPr>
          <w:rFonts w:hint="eastAsia"/>
          <w:sz w:val="22"/>
          <w:szCs w:val="21"/>
        </w:rPr>
        <w:t>灰色系统理论；绿色混凝土；绿色混凝土搅拌站；综合评价；评价模型</w:t>
      </w:r>
    </w:p>
    <w:p w14:paraId="3A790DE9" w14:textId="77777777" w:rsidR="0094480D" w:rsidRDefault="002B1EA5">
      <w:pPr>
        <w:pStyle w:val="1"/>
        <w:spacing w:before="156" w:after="156"/>
        <w:jc w:val="center"/>
      </w:pPr>
      <w:r>
        <w:t>Research on the Comprehensive Evaluation Application of G</w:t>
      </w:r>
      <w:r>
        <w:t>reen Concrete Mixing Stations Based on Grey System Theory</w:t>
      </w:r>
    </w:p>
    <w:p w14:paraId="51176B20" w14:textId="77777777" w:rsidR="0094480D" w:rsidRDefault="002B1EA5">
      <w:pPr>
        <w:spacing w:line="240" w:lineRule="auto"/>
        <w:ind w:firstLineChars="0" w:firstLine="0"/>
        <w:rPr>
          <w:sz w:val="24"/>
          <w:szCs w:val="22"/>
        </w:rPr>
      </w:pPr>
      <w:r>
        <w:rPr>
          <w:b/>
          <w:bCs/>
        </w:rPr>
        <w:t xml:space="preserve">Abstract: </w:t>
      </w:r>
      <w:r>
        <w:rPr>
          <w:sz w:val="24"/>
          <w:szCs w:val="22"/>
        </w:rPr>
        <w:t>With the increasing awareness of environmental protection and the pursuit of sustainable development goals, the development and application of green building materials, especially green co</w:t>
      </w:r>
      <w:r>
        <w:rPr>
          <w:sz w:val="24"/>
          <w:szCs w:val="22"/>
        </w:rPr>
        <w:t>ncrete, has become an important trend in the construction industry. As a key link in the production of green building materials, the comprehensive performance evaluation of green concrete mixing plant is of great significance in promoting the green transfo</w:t>
      </w:r>
      <w:r>
        <w:rPr>
          <w:sz w:val="24"/>
          <w:szCs w:val="22"/>
        </w:rPr>
        <w:t>rmation of the industry and achieving environmental sustainability. This evaluation not only involves environmental protection, but also includes economic benefits and social responsibility and other dimensions, whose complexity and diversity require the u</w:t>
      </w:r>
      <w:r>
        <w:rPr>
          <w:sz w:val="24"/>
          <w:szCs w:val="22"/>
        </w:rPr>
        <w:t>se of a comprehensive and scientific evaluation method. Based on this, grey system theory, with its advantages in dealing with uncertainty and incomplete information, is considered a suitable evaluation tool. The theory can effectively deal with the comple</w:t>
      </w:r>
      <w:r>
        <w:rPr>
          <w:sz w:val="24"/>
          <w:szCs w:val="22"/>
        </w:rPr>
        <w:t xml:space="preserve">xity and ambiguity in the evaluation process and provides a new perspective for the comprehensive evaluation of green concrete batching plants. Based on the grey system theory, a comprehensive evaluation model containing multiple evaluation indicators and </w:t>
      </w:r>
      <w:r>
        <w:rPr>
          <w:sz w:val="24"/>
          <w:szCs w:val="22"/>
        </w:rPr>
        <w:t>dimensions is established. The study shows that the comprehensive evaluation of A green concrete mixing plant in Jiangsu Province through the comprehensive evaluation model of green concrete mixing plant based on grey system theory yields a comprehensive s</w:t>
      </w:r>
      <w:r>
        <w:rPr>
          <w:sz w:val="24"/>
          <w:szCs w:val="22"/>
        </w:rPr>
        <w:t xml:space="preserve">core of 6.423 for A green concrete mixing plant, which is between </w:t>
      </w:r>
      <w:r>
        <w:rPr>
          <w:sz w:val="24"/>
          <w:szCs w:val="22"/>
        </w:rPr>
        <w:lastRenderedPageBreak/>
        <w:t>qualified and better, and based on this evaluation result, suggestions have been proposed for the A green concrete mixing station in three dimensions: environmental protection, economic effi</w:t>
      </w:r>
      <w:r>
        <w:rPr>
          <w:sz w:val="24"/>
          <w:szCs w:val="22"/>
        </w:rPr>
        <w:t>ciency, and social responsibility.</w:t>
      </w:r>
    </w:p>
    <w:p w14:paraId="0A758F68" w14:textId="77777777" w:rsidR="0094480D" w:rsidRDefault="002B1EA5">
      <w:pPr>
        <w:ind w:firstLineChars="0" w:firstLine="0"/>
      </w:pPr>
      <w:r>
        <w:rPr>
          <w:b/>
          <w:bCs/>
        </w:rPr>
        <w:t xml:space="preserve">Keywords: </w:t>
      </w:r>
      <w:r>
        <w:rPr>
          <w:sz w:val="24"/>
          <w:szCs w:val="22"/>
        </w:rPr>
        <w:t>grey system theory; green concrete; green concrete mixing plant; comprehensive evaluation; evaluation model</w:t>
      </w:r>
    </w:p>
    <w:p w14:paraId="5B0B4805" w14:textId="77777777" w:rsidR="0094480D" w:rsidRDefault="002B1EA5">
      <w:pPr>
        <w:pStyle w:val="1"/>
        <w:spacing w:before="156" w:after="156"/>
      </w:pPr>
      <w:r>
        <w:rPr>
          <w:rFonts w:hint="eastAsia"/>
        </w:rPr>
        <w:t xml:space="preserve">0 </w:t>
      </w:r>
      <w:r>
        <w:rPr>
          <w:rFonts w:hint="eastAsia"/>
        </w:rPr>
        <w:t>引言</w:t>
      </w:r>
    </w:p>
    <w:p w14:paraId="5AD6CD58" w14:textId="77777777" w:rsidR="0094480D" w:rsidRDefault="002B1EA5">
      <w:pPr>
        <w:ind w:firstLine="480"/>
        <w:rPr>
          <w:rFonts w:ascii="宋体" w:hAnsi="宋体" w:cs="宋体"/>
          <w:sz w:val="24"/>
          <w:szCs w:val="22"/>
        </w:rPr>
      </w:pPr>
      <w:r>
        <w:rPr>
          <w:rFonts w:ascii="宋体" w:hAnsi="宋体" w:cs="宋体" w:hint="eastAsia"/>
          <w:sz w:val="24"/>
          <w:szCs w:val="22"/>
        </w:rPr>
        <w:t>在当前全球气候变化和资源紧张的背景下，绿色混凝土搅拌站的发展成为行业关注的焦点。绿色混凝土搅拌站作为实现建筑行业可持续发展的重要途径，不仅能有效减少建筑材料生产过程中的能源消耗和废弃物排放，还能提</w:t>
      </w:r>
      <w:r>
        <w:rPr>
          <w:rFonts w:ascii="宋体" w:hAnsi="宋体" w:cs="宋体" w:hint="eastAsia"/>
          <w:sz w:val="24"/>
          <w:szCs w:val="22"/>
        </w:rPr>
        <w:t>高资源利用效率，从而对环境产生较小的负面影响。随着环保标准的提高和社会对可持续发展的需求增长，绿色混凝土搅拌站的综合评价成了一个紧迫的议题。近年来，业界和学术界对于绿色混凝土搅拌站的评价方法进行了广泛的研究。传统的评价方法往往侧重于经济效益的量化，而在环境和社会责任方面的考量不够全面。这种单一维度的评价方式难以全面反映绿色混凝土搅拌站的综合表现，尤其是在环境保护和社会责任方面的贡献。</w:t>
      </w:r>
    </w:p>
    <w:p w14:paraId="7D908786" w14:textId="77777777" w:rsidR="0094480D" w:rsidRDefault="002B1EA5">
      <w:pPr>
        <w:ind w:firstLine="480"/>
        <w:rPr>
          <w:rFonts w:ascii="宋体" w:hAnsi="宋体" w:cs="宋体"/>
          <w:sz w:val="24"/>
          <w:szCs w:val="22"/>
        </w:rPr>
      </w:pPr>
      <w:r>
        <w:rPr>
          <w:rFonts w:ascii="宋体" w:hAnsi="宋体" w:cs="宋体" w:hint="eastAsia"/>
          <w:sz w:val="24"/>
          <w:szCs w:val="22"/>
        </w:rPr>
        <w:t>为了全面评价绿色混凝土搅拌站的综合性能，灰色系统理论作为一种有效的决策和评价工具被引入到这一领域。灰色系统理论主要用于处理不</w:t>
      </w:r>
      <w:r>
        <w:rPr>
          <w:rFonts w:ascii="宋体" w:hAnsi="宋体" w:cs="宋体" w:hint="eastAsia"/>
          <w:sz w:val="24"/>
          <w:szCs w:val="22"/>
        </w:rPr>
        <w:t>确定性和不完整信息的问题，适用于复杂系统的分析和评估。在绿色混凝土搅拌站的评价中，这一理论能够有效处理评价过程中的不确定性和信息不完整性问题，为评价提供了新的方法论基础</w:t>
      </w:r>
      <w:r>
        <w:rPr>
          <w:rFonts w:ascii="宋体" w:hAnsi="宋体" w:cs="宋体" w:hint="eastAsia"/>
          <w:sz w:val="24"/>
          <w:szCs w:val="22"/>
          <w:vertAlign w:val="superscript"/>
        </w:rPr>
        <w:t>[1]</w:t>
      </w:r>
      <w:r>
        <w:rPr>
          <w:rFonts w:ascii="宋体" w:hAnsi="宋体" w:cs="宋体" w:hint="eastAsia"/>
          <w:sz w:val="24"/>
          <w:szCs w:val="22"/>
        </w:rPr>
        <w:t>。文章将构建一个基于灰色系统理论的绿色混凝土搅拌站综合评价模型，并通过实证研究来验证该模型的有效性，旨在为绿色混凝土搅拌站的综合评价提供一个科学、全面的方法，为建筑行业的可持续发展提供理论支持。</w:t>
      </w:r>
    </w:p>
    <w:p w14:paraId="2CAC28BA" w14:textId="77777777" w:rsidR="0094480D" w:rsidRDefault="002B1EA5">
      <w:pPr>
        <w:pStyle w:val="1"/>
        <w:spacing w:before="156" w:after="156"/>
      </w:pPr>
      <w:r>
        <w:rPr>
          <w:rFonts w:hint="eastAsia"/>
        </w:rPr>
        <w:t>1</w:t>
      </w:r>
      <w:r>
        <w:rPr>
          <w:rFonts w:hint="eastAsia"/>
        </w:rPr>
        <w:t>文献综述</w:t>
      </w:r>
    </w:p>
    <w:p w14:paraId="63A32396" w14:textId="77777777" w:rsidR="0094480D" w:rsidRDefault="002B1EA5">
      <w:pPr>
        <w:pStyle w:val="2"/>
      </w:pPr>
      <w:r>
        <w:rPr>
          <w:rFonts w:hint="eastAsia"/>
        </w:rPr>
        <w:t>1.1</w:t>
      </w:r>
      <w:r>
        <w:rPr>
          <w:rFonts w:hint="eastAsia"/>
        </w:rPr>
        <w:t>绿色混凝土概念</w:t>
      </w:r>
    </w:p>
    <w:p w14:paraId="04991E4B" w14:textId="77777777" w:rsidR="0094480D" w:rsidRDefault="002B1EA5">
      <w:pPr>
        <w:ind w:firstLine="480"/>
        <w:rPr>
          <w:rFonts w:ascii="宋体" w:hAnsi="宋体" w:cs="宋体"/>
          <w:sz w:val="24"/>
          <w:szCs w:val="22"/>
        </w:rPr>
      </w:pPr>
      <w:r>
        <w:rPr>
          <w:rFonts w:ascii="宋体" w:hAnsi="宋体" w:cs="宋体" w:hint="eastAsia"/>
          <w:sz w:val="24"/>
          <w:szCs w:val="22"/>
        </w:rPr>
        <w:t>绿色混凝土作为绿色建筑材料的一种，融合了绿色建材的基本属性和混凝土的特定需求。</w:t>
      </w:r>
      <w:r>
        <w:rPr>
          <w:rFonts w:ascii="宋体" w:hAnsi="宋体" w:cs="宋体" w:hint="eastAsia"/>
          <w:sz w:val="24"/>
          <w:szCs w:val="22"/>
        </w:rPr>
        <w:t>1999</w:t>
      </w:r>
      <w:r>
        <w:rPr>
          <w:rFonts w:ascii="宋体" w:hAnsi="宋体" w:cs="宋体" w:hint="eastAsia"/>
          <w:sz w:val="24"/>
          <w:szCs w:val="22"/>
        </w:rPr>
        <w:t>年的“首届全国绿色建材</w:t>
      </w:r>
      <w:r>
        <w:rPr>
          <w:rFonts w:ascii="宋体" w:hAnsi="宋体" w:cs="宋体" w:hint="eastAsia"/>
          <w:sz w:val="24"/>
          <w:szCs w:val="22"/>
        </w:rPr>
        <w:t>发展与应用研讨会”上，绿色建材被定义为与自然环境和谐共生、无有害成分、无污染和无放射性的建筑材料</w:t>
      </w:r>
      <w:r>
        <w:rPr>
          <w:rFonts w:ascii="宋体" w:hAnsi="宋体" w:cs="宋体" w:hint="eastAsia"/>
          <w:sz w:val="24"/>
          <w:szCs w:val="22"/>
        </w:rPr>
        <w:t>[2]</w:t>
      </w:r>
      <w:r>
        <w:rPr>
          <w:rFonts w:ascii="宋体" w:hAnsi="宋体" w:cs="宋体" w:hint="eastAsia"/>
          <w:sz w:val="24"/>
          <w:szCs w:val="22"/>
        </w:rPr>
        <w:t>。作为这一类别的重要组成部分，绿色混凝土不仅应具备这些普遍特性，还需满足混凝土的功能性和使用性要求。虽然目前尚无统一的绿色混凝土定义，但吴中伟</w:t>
      </w:r>
      <w:r>
        <w:rPr>
          <w:rFonts w:ascii="宋体" w:hAnsi="宋体" w:cs="宋体" w:hint="eastAsia"/>
          <w:sz w:val="24"/>
          <w:szCs w:val="22"/>
        </w:rPr>
        <w:lastRenderedPageBreak/>
        <w:t>院士基于高性能混凝土提出了绿色混凝土的概念，突出了其环保和性能优势。与传统混凝土相比，绿色混凝土在耐久性和强度上表现更优，通过资源循环利用和减少有害物质排放，达到保护环境的目标，与环境实现和谐共生。综上所述，绿色混凝土的显著特点包括：减少水泥用量以促进资源循环利用，具</w:t>
      </w:r>
      <w:r>
        <w:rPr>
          <w:rFonts w:ascii="宋体" w:hAnsi="宋体" w:cs="宋体" w:hint="eastAsia"/>
          <w:sz w:val="24"/>
          <w:szCs w:val="22"/>
        </w:rPr>
        <w:t>有较高的力学性能和耐久性，节能环保，以及提供安全舒适的生存环境。传统混凝土与绿色混凝土的对比如表</w:t>
      </w:r>
      <w:r>
        <w:rPr>
          <w:rFonts w:ascii="宋体" w:hAnsi="宋体" w:cs="宋体" w:hint="eastAsia"/>
          <w:sz w:val="24"/>
          <w:szCs w:val="22"/>
        </w:rPr>
        <w:t>1</w:t>
      </w:r>
      <w:r>
        <w:rPr>
          <w:rFonts w:ascii="宋体" w:hAnsi="宋体" w:cs="宋体" w:hint="eastAsia"/>
          <w:sz w:val="24"/>
          <w:szCs w:val="22"/>
        </w:rPr>
        <w:t>所示。</w:t>
      </w:r>
    </w:p>
    <w:p w14:paraId="012BCCD6" w14:textId="77777777" w:rsidR="0094480D" w:rsidRDefault="002B1EA5">
      <w:pPr>
        <w:ind w:firstLineChars="0" w:firstLine="0"/>
        <w:jc w:val="center"/>
        <w:rPr>
          <w:rFonts w:ascii="宋体" w:hAnsi="宋体" w:cs="宋体"/>
          <w:sz w:val="21"/>
          <w:szCs w:val="21"/>
        </w:rPr>
      </w:pPr>
      <w:r>
        <w:rPr>
          <w:rFonts w:ascii="宋体" w:hAnsi="宋体" w:cs="宋体" w:hint="eastAsia"/>
          <w:sz w:val="21"/>
          <w:szCs w:val="21"/>
        </w:rPr>
        <w:t>表</w:t>
      </w:r>
      <w:r>
        <w:rPr>
          <w:rFonts w:ascii="宋体" w:hAnsi="宋体" w:cs="宋体" w:hint="eastAsia"/>
          <w:sz w:val="21"/>
          <w:szCs w:val="21"/>
        </w:rPr>
        <w:t xml:space="preserve">1 </w:t>
      </w:r>
      <w:r>
        <w:rPr>
          <w:rFonts w:ascii="宋体" w:hAnsi="宋体" w:cs="宋体" w:hint="eastAsia"/>
          <w:sz w:val="21"/>
          <w:szCs w:val="21"/>
        </w:rPr>
        <w:t>传统混凝土与绿色混凝土的对比</w:t>
      </w:r>
    </w:p>
    <w:tbl>
      <w:tblPr>
        <w:tblStyle w:val="a6"/>
        <w:tblW w:w="4998"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23"/>
        <w:gridCol w:w="3437"/>
      </w:tblGrid>
      <w:tr w:rsidR="0094480D" w14:paraId="5AED3A2C" w14:textId="77777777">
        <w:tc>
          <w:tcPr>
            <w:tcW w:w="915" w:type="pct"/>
            <w:tcBorders>
              <w:top w:val="single" w:sz="12" w:space="0" w:color="000000"/>
              <w:bottom w:val="single" w:sz="4" w:space="0" w:color="000000"/>
              <w:tl2br w:val="nil"/>
            </w:tcBorders>
            <w:shd w:val="clear" w:color="auto" w:fill="FFFFFF"/>
            <w:vAlign w:val="center"/>
          </w:tcPr>
          <w:p w14:paraId="085DD9F4" w14:textId="77777777" w:rsidR="0094480D" w:rsidRDefault="002B1EA5">
            <w:pPr>
              <w:ind w:firstLineChars="0" w:firstLine="0"/>
              <w:jc w:val="center"/>
              <w:rPr>
                <w:rFonts w:ascii="宋体" w:hAnsi="宋体" w:cs="宋体"/>
                <w:color w:val="000000"/>
                <w:sz w:val="21"/>
                <w:szCs w:val="21"/>
              </w:rPr>
            </w:pPr>
            <w:r>
              <w:rPr>
                <w:rFonts w:ascii="宋体" w:hAnsi="宋体" w:cs="宋体" w:hint="eastAsia"/>
                <w:color w:val="000000"/>
                <w:sz w:val="21"/>
                <w:szCs w:val="21"/>
              </w:rPr>
              <w:t>对比项</w:t>
            </w:r>
          </w:p>
        </w:tc>
        <w:tc>
          <w:tcPr>
            <w:tcW w:w="2067" w:type="pct"/>
            <w:tcBorders>
              <w:top w:val="single" w:sz="12" w:space="0" w:color="000000"/>
              <w:bottom w:val="single" w:sz="4" w:space="0" w:color="000000"/>
            </w:tcBorders>
            <w:shd w:val="clear" w:color="auto" w:fill="FFFFFF"/>
            <w:vAlign w:val="center"/>
          </w:tcPr>
          <w:p w14:paraId="137F1F90" w14:textId="77777777" w:rsidR="0094480D" w:rsidRDefault="002B1EA5">
            <w:pPr>
              <w:ind w:firstLineChars="0" w:firstLine="0"/>
              <w:jc w:val="center"/>
              <w:rPr>
                <w:rFonts w:ascii="宋体" w:hAnsi="宋体" w:cs="宋体"/>
                <w:color w:val="000000"/>
                <w:sz w:val="21"/>
                <w:szCs w:val="21"/>
              </w:rPr>
            </w:pPr>
            <w:r>
              <w:rPr>
                <w:rFonts w:ascii="宋体" w:hAnsi="宋体" w:cs="宋体" w:hint="eastAsia"/>
                <w:color w:val="000000"/>
                <w:sz w:val="21"/>
                <w:szCs w:val="21"/>
              </w:rPr>
              <w:t>传统混凝土</w:t>
            </w:r>
          </w:p>
        </w:tc>
        <w:tc>
          <w:tcPr>
            <w:tcW w:w="2016" w:type="pct"/>
            <w:tcBorders>
              <w:top w:val="single" w:sz="12" w:space="0" w:color="000000"/>
              <w:bottom w:val="single" w:sz="4" w:space="0" w:color="000000"/>
            </w:tcBorders>
            <w:shd w:val="clear" w:color="auto" w:fill="FFFFFF"/>
            <w:vAlign w:val="center"/>
          </w:tcPr>
          <w:p w14:paraId="0EEAA5F4" w14:textId="77777777" w:rsidR="0094480D" w:rsidRDefault="002B1EA5">
            <w:pPr>
              <w:ind w:firstLineChars="0" w:firstLine="0"/>
              <w:jc w:val="center"/>
              <w:rPr>
                <w:rFonts w:ascii="宋体" w:hAnsi="宋体" w:cs="宋体"/>
                <w:color w:val="000000"/>
                <w:sz w:val="21"/>
                <w:szCs w:val="21"/>
              </w:rPr>
            </w:pPr>
            <w:r>
              <w:rPr>
                <w:rFonts w:ascii="宋体" w:hAnsi="宋体" w:cs="宋体" w:hint="eastAsia"/>
                <w:color w:val="000000"/>
                <w:sz w:val="21"/>
                <w:szCs w:val="21"/>
              </w:rPr>
              <w:t>绿色混凝土</w:t>
            </w:r>
          </w:p>
        </w:tc>
      </w:tr>
      <w:tr w:rsidR="0094480D" w14:paraId="576152A7" w14:textId="77777777">
        <w:tc>
          <w:tcPr>
            <w:tcW w:w="915" w:type="pct"/>
            <w:tcBorders>
              <w:top w:val="single" w:sz="4" w:space="0" w:color="000000"/>
              <w:tl2br w:val="nil"/>
              <w:tr2bl w:val="nil"/>
            </w:tcBorders>
            <w:shd w:val="clear" w:color="auto" w:fill="FFFFFF"/>
            <w:vAlign w:val="center"/>
          </w:tcPr>
          <w:p w14:paraId="59DD98D7" w14:textId="77777777" w:rsidR="0094480D" w:rsidRDefault="002B1EA5">
            <w:pPr>
              <w:ind w:firstLineChars="0" w:firstLine="0"/>
              <w:jc w:val="center"/>
              <w:rPr>
                <w:rFonts w:ascii="宋体" w:hAnsi="宋体" w:cs="宋体"/>
                <w:color w:val="000000"/>
                <w:sz w:val="21"/>
                <w:szCs w:val="21"/>
              </w:rPr>
            </w:pPr>
            <w:r>
              <w:rPr>
                <w:rFonts w:ascii="宋体" w:hAnsi="宋体" w:cs="宋体" w:hint="eastAsia"/>
                <w:color w:val="000000"/>
                <w:sz w:val="21"/>
                <w:szCs w:val="21"/>
              </w:rPr>
              <w:t>制造过程</w:t>
            </w:r>
          </w:p>
        </w:tc>
        <w:tc>
          <w:tcPr>
            <w:tcW w:w="2067" w:type="pct"/>
            <w:tcBorders>
              <w:top w:val="single" w:sz="4" w:space="0" w:color="000000"/>
              <w:tl2br w:val="nil"/>
              <w:tr2bl w:val="nil"/>
            </w:tcBorders>
            <w:shd w:val="clear" w:color="auto" w:fill="FFFFFF"/>
            <w:vAlign w:val="center"/>
          </w:tcPr>
          <w:p w14:paraId="253D5303" w14:textId="77777777" w:rsidR="0094480D" w:rsidRDefault="002B1EA5">
            <w:pPr>
              <w:ind w:firstLineChars="0" w:firstLine="0"/>
              <w:jc w:val="center"/>
              <w:rPr>
                <w:rFonts w:ascii="宋体" w:hAnsi="宋体" w:cs="宋体"/>
                <w:color w:val="000000"/>
                <w:sz w:val="20"/>
                <w:szCs w:val="20"/>
              </w:rPr>
            </w:pPr>
            <w:r>
              <w:rPr>
                <w:rFonts w:ascii="宋体" w:hAnsi="宋体" w:cs="宋体" w:hint="eastAsia"/>
                <w:color w:val="000000"/>
                <w:sz w:val="20"/>
                <w:szCs w:val="20"/>
              </w:rPr>
              <w:t>对环境造成的压力较大，使用的材料以不可再生资源为主</w:t>
            </w:r>
          </w:p>
        </w:tc>
        <w:tc>
          <w:tcPr>
            <w:tcW w:w="2016" w:type="pct"/>
            <w:tcBorders>
              <w:top w:val="single" w:sz="4" w:space="0" w:color="000000"/>
              <w:tl2br w:val="nil"/>
              <w:tr2bl w:val="nil"/>
            </w:tcBorders>
            <w:shd w:val="clear" w:color="auto" w:fill="FFFFFF"/>
            <w:vAlign w:val="center"/>
          </w:tcPr>
          <w:p w14:paraId="3CA66AF0" w14:textId="77777777" w:rsidR="0094480D" w:rsidRDefault="002B1EA5">
            <w:pPr>
              <w:ind w:firstLineChars="0" w:firstLine="0"/>
              <w:jc w:val="center"/>
              <w:rPr>
                <w:rFonts w:ascii="宋体" w:hAnsi="宋体" w:cs="宋体"/>
                <w:color w:val="000000"/>
                <w:sz w:val="20"/>
                <w:szCs w:val="20"/>
              </w:rPr>
            </w:pPr>
            <w:r>
              <w:rPr>
                <w:rFonts w:ascii="宋体" w:hAnsi="宋体" w:cs="宋体" w:hint="eastAsia"/>
                <w:color w:val="000000"/>
                <w:sz w:val="20"/>
                <w:szCs w:val="20"/>
              </w:rPr>
              <w:t>对环境的压力较小，通过回收废料和资源，可以减少污染物的排放</w:t>
            </w:r>
          </w:p>
        </w:tc>
      </w:tr>
      <w:tr w:rsidR="0094480D" w14:paraId="0A6CB392" w14:textId="77777777">
        <w:tc>
          <w:tcPr>
            <w:tcW w:w="915" w:type="pct"/>
            <w:tcBorders>
              <w:tl2br w:val="nil"/>
              <w:tr2bl w:val="nil"/>
            </w:tcBorders>
            <w:shd w:val="clear" w:color="auto" w:fill="FFFFFF"/>
            <w:vAlign w:val="center"/>
          </w:tcPr>
          <w:p w14:paraId="4BACA5DC" w14:textId="77777777" w:rsidR="0094480D" w:rsidRDefault="002B1EA5">
            <w:pPr>
              <w:ind w:firstLineChars="0" w:firstLine="0"/>
              <w:jc w:val="center"/>
              <w:rPr>
                <w:rFonts w:ascii="宋体" w:hAnsi="宋体" w:cs="宋体"/>
                <w:color w:val="000000"/>
                <w:sz w:val="21"/>
                <w:szCs w:val="21"/>
              </w:rPr>
            </w:pPr>
            <w:r>
              <w:rPr>
                <w:rFonts w:ascii="宋体" w:hAnsi="宋体" w:cs="宋体" w:hint="eastAsia"/>
                <w:color w:val="000000"/>
                <w:sz w:val="21"/>
                <w:szCs w:val="21"/>
              </w:rPr>
              <w:t>使用过程</w:t>
            </w:r>
          </w:p>
        </w:tc>
        <w:tc>
          <w:tcPr>
            <w:tcW w:w="2067" w:type="pct"/>
            <w:tcBorders>
              <w:tl2br w:val="nil"/>
              <w:tr2bl w:val="nil"/>
            </w:tcBorders>
            <w:shd w:val="clear" w:color="auto" w:fill="FFFFFF"/>
            <w:vAlign w:val="center"/>
          </w:tcPr>
          <w:p w14:paraId="3963D6EB" w14:textId="77777777" w:rsidR="0094480D" w:rsidRDefault="002B1EA5">
            <w:pPr>
              <w:ind w:firstLineChars="0" w:firstLine="0"/>
              <w:jc w:val="center"/>
              <w:rPr>
                <w:rFonts w:ascii="宋体" w:hAnsi="宋体" w:cs="宋体"/>
                <w:color w:val="000000"/>
                <w:sz w:val="20"/>
                <w:szCs w:val="20"/>
              </w:rPr>
            </w:pPr>
            <w:r>
              <w:rPr>
                <w:rFonts w:ascii="宋体" w:hAnsi="宋体" w:cs="宋体" w:hint="eastAsia"/>
                <w:color w:val="000000"/>
                <w:sz w:val="20"/>
                <w:szCs w:val="20"/>
              </w:rPr>
              <w:t>对环境造成的压力较大，存在噪音污染，性能较差，不能满足长时间的使用要求</w:t>
            </w:r>
          </w:p>
        </w:tc>
        <w:tc>
          <w:tcPr>
            <w:tcW w:w="2016" w:type="pct"/>
            <w:tcBorders>
              <w:tl2br w:val="nil"/>
              <w:tr2bl w:val="nil"/>
            </w:tcBorders>
            <w:shd w:val="clear" w:color="auto" w:fill="FFFFFF"/>
            <w:vAlign w:val="center"/>
          </w:tcPr>
          <w:p w14:paraId="4638C1B9" w14:textId="77777777" w:rsidR="0094480D" w:rsidRDefault="002B1EA5">
            <w:pPr>
              <w:ind w:firstLineChars="0" w:firstLine="0"/>
              <w:jc w:val="center"/>
              <w:rPr>
                <w:rFonts w:ascii="宋体" w:hAnsi="宋体" w:cs="宋体"/>
                <w:color w:val="000000"/>
                <w:sz w:val="20"/>
                <w:szCs w:val="20"/>
              </w:rPr>
            </w:pPr>
            <w:r>
              <w:rPr>
                <w:rFonts w:ascii="宋体" w:hAnsi="宋体" w:cs="宋体" w:hint="eastAsia"/>
                <w:color w:val="000000"/>
                <w:sz w:val="20"/>
                <w:szCs w:val="20"/>
              </w:rPr>
              <w:t>对环境造成的压力较小，使用绿色混凝土可以降低噪音，高性能材料可以降低能源负荷</w:t>
            </w:r>
          </w:p>
        </w:tc>
      </w:tr>
      <w:tr w:rsidR="0094480D" w14:paraId="3CEC66D7" w14:textId="77777777">
        <w:tc>
          <w:tcPr>
            <w:tcW w:w="915" w:type="pct"/>
            <w:tcBorders>
              <w:bottom w:val="single" w:sz="12" w:space="0" w:color="000000"/>
              <w:tl2br w:val="nil"/>
              <w:tr2bl w:val="nil"/>
            </w:tcBorders>
            <w:shd w:val="clear" w:color="auto" w:fill="FFFFFF"/>
            <w:vAlign w:val="center"/>
          </w:tcPr>
          <w:p w14:paraId="0731A7F5" w14:textId="77777777" w:rsidR="0094480D" w:rsidRDefault="002B1EA5">
            <w:pPr>
              <w:ind w:firstLineChars="0" w:firstLine="0"/>
              <w:jc w:val="center"/>
              <w:rPr>
                <w:rFonts w:ascii="宋体" w:hAnsi="宋体" w:cs="宋体"/>
                <w:color w:val="000000"/>
                <w:sz w:val="21"/>
                <w:szCs w:val="21"/>
              </w:rPr>
            </w:pPr>
            <w:r>
              <w:rPr>
                <w:rFonts w:ascii="宋体" w:hAnsi="宋体" w:cs="宋体" w:hint="eastAsia"/>
                <w:color w:val="000000"/>
                <w:sz w:val="21"/>
                <w:szCs w:val="21"/>
              </w:rPr>
              <w:t>功能性</w:t>
            </w:r>
          </w:p>
        </w:tc>
        <w:tc>
          <w:tcPr>
            <w:tcW w:w="2067" w:type="pct"/>
            <w:tcBorders>
              <w:bottom w:val="single" w:sz="12" w:space="0" w:color="000000"/>
              <w:tl2br w:val="nil"/>
              <w:tr2bl w:val="nil"/>
            </w:tcBorders>
            <w:shd w:val="clear" w:color="auto" w:fill="FFFFFF"/>
            <w:vAlign w:val="center"/>
          </w:tcPr>
          <w:p w14:paraId="17051329" w14:textId="77777777" w:rsidR="0094480D" w:rsidRDefault="002B1EA5">
            <w:pPr>
              <w:ind w:firstLineChars="0" w:firstLine="0"/>
              <w:jc w:val="center"/>
              <w:rPr>
                <w:rFonts w:ascii="宋体" w:hAnsi="宋体" w:cs="宋体"/>
                <w:color w:val="000000"/>
                <w:sz w:val="20"/>
                <w:szCs w:val="20"/>
              </w:rPr>
            </w:pPr>
            <w:r>
              <w:rPr>
                <w:rFonts w:ascii="宋体" w:hAnsi="宋体" w:cs="宋体" w:hint="eastAsia"/>
                <w:color w:val="000000"/>
                <w:sz w:val="20"/>
                <w:szCs w:val="20"/>
              </w:rPr>
              <w:t>只能满足必要的功能性和耐久性</w:t>
            </w:r>
          </w:p>
        </w:tc>
        <w:tc>
          <w:tcPr>
            <w:tcW w:w="2016" w:type="pct"/>
            <w:tcBorders>
              <w:bottom w:val="single" w:sz="12" w:space="0" w:color="000000"/>
              <w:tl2br w:val="nil"/>
              <w:tr2bl w:val="nil"/>
            </w:tcBorders>
            <w:shd w:val="clear" w:color="auto" w:fill="FFFFFF"/>
            <w:vAlign w:val="center"/>
          </w:tcPr>
          <w:p w14:paraId="38BCC55E" w14:textId="77777777" w:rsidR="0094480D" w:rsidRDefault="002B1EA5">
            <w:pPr>
              <w:ind w:firstLineChars="0" w:firstLine="0"/>
              <w:jc w:val="center"/>
              <w:rPr>
                <w:rFonts w:ascii="宋体" w:hAnsi="宋体" w:cs="宋体"/>
                <w:color w:val="000000"/>
                <w:sz w:val="20"/>
                <w:szCs w:val="20"/>
              </w:rPr>
            </w:pPr>
            <w:r>
              <w:rPr>
                <w:rFonts w:ascii="宋体" w:hAnsi="宋体" w:cs="宋体" w:hint="eastAsia"/>
                <w:color w:val="000000"/>
                <w:sz w:val="20"/>
                <w:szCs w:val="20"/>
              </w:rPr>
              <w:t>能够保护、美化环境与自然和谐共生</w:t>
            </w:r>
          </w:p>
        </w:tc>
      </w:tr>
    </w:tbl>
    <w:p w14:paraId="543208B7" w14:textId="77777777" w:rsidR="0094480D" w:rsidRDefault="002B1EA5">
      <w:pPr>
        <w:pStyle w:val="2"/>
      </w:pPr>
      <w:r>
        <w:rPr>
          <w:rFonts w:hint="eastAsia"/>
        </w:rPr>
        <w:t>1.2</w:t>
      </w:r>
      <w:r>
        <w:rPr>
          <w:rFonts w:hint="eastAsia"/>
        </w:rPr>
        <w:t>绿色混凝土搅拌站</w:t>
      </w:r>
    </w:p>
    <w:p w14:paraId="1E8540AE" w14:textId="77777777" w:rsidR="0094480D" w:rsidRDefault="002B1EA5">
      <w:pPr>
        <w:ind w:firstLine="480"/>
        <w:rPr>
          <w:sz w:val="24"/>
          <w:szCs w:val="22"/>
        </w:rPr>
      </w:pPr>
      <w:r>
        <w:rPr>
          <w:rFonts w:hint="eastAsia"/>
          <w:sz w:val="24"/>
          <w:szCs w:val="22"/>
        </w:rPr>
        <w:t>随着国家“环保风暴”行动的推进，混凝土搅拌站生产企业纷纷推出了一种被行业称为“第五代绿色环保混凝土搅拌站”的全封闭工厂式搅拌站。这种新型搅拌站采用了创新的技术和设计，旨在减少对环境的负面影响，更加灵活和高效地生产绿色混凝土</w:t>
      </w:r>
      <w:r>
        <w:rPr>
          <w:rFonts w:hint="eastAsia"/>
          <w:sz w:val="24"/>
          <w:szCs w:val="22"/>
          <w:vertAlign w:val="superscript"/>
        </w:rPr>
        <w:t>[3]</w:t>
      </w:r>
      <w:r>
        <w:rPr>
          <w:rFonts w:hint="eastAsia"/>
          <w:sz w:val="24"/>
          <w:szCs w:val="22"/>
        </w:rPr>
        <w:t>。张虹莉（</w:t>
      </w:r>
      <w:r>
        <w:rPr>
          <w:rFonts w:hint="eastAsia"/>
          <w:sz w:val="24"/>
          <w:szCs w:val="22"/>
        </w:rPr>
        <w:t>2017</w:t>
      </w:r>
      <w:r>
        <w:rPr>
          <w:rFonts w:hint="eastAsia"/>
          <w:sz w:val="24"/>
          <w:szCs w:val="22"/>
        </w:rPr>
        <w:t>）探讨了技术改造在绿色混凝土搅拌站中的具体应用，以杭州某混凝土搅拌站为例分析了其技术改进，并使用数学统计学方法对混凝土搅拌站的技术改进进行了评价</w:t>
      </w:r>
      <w:r>
        <w:rPr>
          <w:rFonts w:hint="eastAsia"/>
          <w:sz w:val="24"/>
          <w:szCs w:val="22"/>
          <w:vertAlign w:val="superscript"/>
        </w:rPr>
        <w:t>[4]</w:t>
      </w:r>
      <w:r>
        <w:rPr>
          <w:rFonts w:hint="eastAsia"/>
          <w:sz w:val="24"/>
          <w:szCs w:val="22"/>
        </w:rPr>
        <w:t>。满丽莹（</w:t>
      </w:r>
      <w:r>
        <w:rPr>
          <w:rFonts w:hint="eastAsia"/>
          <w:sz w:val="24"/>
          <w:szCs w:val="22"/>
        </w:rPr>
        <w:t>2019</w:t>
      </w:r>
      <w:r>
        <w:rPr>
          <w:rFonts w:hint="eastAsia"/>
          <w:sz w:val="24"/>
          <w:szCs w:val="22"/>
        </w:rPr>
        <w:t>）指出新型绿色环保混凝土搅拌站将对混凝土生产过程中的粉尘污染、废水外排、噪音污染进行处理，并将再生骨料和废弃资源进行循环回收利用</w:t>
      </w:r>
      <w:r>
        <w:rPr>
          <w:rFonts w:hint="eastAsia"/>
          <w:sz w:val="24"/>
          <w:szCs w:val="22"/>
          <w:vertAlign w:val="superscript"/>
        </w:rPr>
        <w:t>[5]</w:t>
      </w:r>
      <w:r>
        <w:rPr>
          <w:rFonts w:hint="eastAsia"/>
          <w:sz w:val="24"/>
          <w:szCs w:val="22"/>
        </w:rPr>
        <w:t>。宁雪莲（</w:t>
      </w:r>
      <w:r>
        <w:rPr>
          <w:rFonts w:hint="eastAsia"/>
          <w:sz w:val="24"/>
          <w:szCs w:val="22"/>
        </w:rPr>
        <w:t>2023</w:t>
      </w:r>
      <w:r>
        <w:rPr>
          <w:rFonts w:hint="eastAsia"/>
          <w:sz w:val="24"/>
          <w:szCs w:val="22"/>
        </w:rPr>
        <w:t>）指出绿色混凝土搅拌站将朝着工艺创新化、设备智能化、环保节能化方向发展</w:t>
      </w:r>
      <w:r>
        <w:rPr>
          <w:rFonts w:hint="eastAsia"/>
          <w:sz w:val="24"/>
          <w:szCs w:val="22"/>
          <w:vertAlign w:val="superscript"/>
        </w:rPr>
        <w:t>[6]</w:t>
      </w:r>
      <w:r>
        <w:rPr>
          <w:rFonts w:hint="eastAsia"/>
          <w:sz w:val="24"/>
          <w:szCs w:val="22"/>
        </w:rPr>
        <w:t>。</w:t>
      </w:r>
    </w:p>
    <w:p w14:paraId="790F11C6" w14:textId="77777777" w:rsidR="0094480D" w:rsidRDefault="002B1EA5">
      <w:pPr>
        <w:pStyle w:val="1"/>
        <w:spacing w:before="156" w:after="156"/>
      </w:pPr>
      <w:r>
        <w:rPr>
          <w:rFonts w:hint="eastAsia"/>
        </w:rPr>
        <w:t>2</w:t>
      </w:r>
      <w:r>
        <w:rPr>
          <w:rFonts w:hint="eastAsia"/>
        </w:rPr>
        <w:t>绿色混凝土搅拌站综合评价模型构建</w:t>
      </w:r>
    </w:p>
    <w:p w14:paraId="5229CC78" w14:textId="77777777" w:rsidR="0094480D" w:rsidRDefault="002B1EA5">
      <w:pPr>
        <w:pStyle w:val="2"/>
      </w:pPr>
      <w:r>
        <w:rPr>
          <w:rFonts w:hint="eastAsia"/>
        </w:rPr>
        <w:t>2.1</w:t>
      </w:r>
      <w:r>
        <w:rPr>
          <w:rFonts w:hint="eastAsia"/>
        </w:rPr>
        <w:t>确定评价目标</w:t>
      </w:r>
    </w:p>
    <w:p w14:paraId="2895F508" w14:textId="77777777" w:rsidR="0094480D" w:rsidRDefault="002B1EA5">
      <w:pPr>
        <w:ind w:firstLine="480"/>
        <w:rPr>
          <w:sz w:val="24"/>
          <w:szCs w:val="22"/>
        </w:rPr>
      </w:pPr>
      <w:r>
        <w:rPr>
          <w:rFonts w:hint="eastAsia"/>
          <w:sz w:val="24"/>
          <w:szCs w:val="22"/>
        </w:rPr>
        <w:t>明确评价目标是评价过程的基础和出发点。评价目标的确定应遵循科学性、全面性和针对性的原则，确保评价结果能够全面反映搅拌站的综合性能和可持续</w:t>
      </w:r>
      <w:r>
        <w:rPr>
          <w:rFonts w:hint="eastAsia"/>
          <w:sz w:val="24"/>
          <w:szCs w:val="22"/>
        </w:rPr>
        <w:lastRenderedPageBreak/>
        <w:t>发展水平。评价目标应涵盖环境、经济和社会三个主要维度。评价目标的确定应</w:t>
      </w:r>
      <w:r>
        <w:rPr>
          <w:rFonts w:hint="eastAsia"/>
          <w:sz w:val="24"/>
          <w:szCs w:val="22"/>
        </w:rPr>
        <w:t>充分考虑利益相关者的需求和期望。通过与政府部门、行业协会、客户和社区等利益相关者的沟通和协商，可以确保评价目标更加全面和公正，更好地服务于搅拌站和社会的共同利益。</w:t>
      </w:r>
    </w:p>
    <w:p w14:paraId="1BE5FACA" w14:textId="77777777" w:rsidR="0094480D" w:rsidRDefault="002B1EA5">
      <w:pPr>
        <w:pStyle w:val="2"/>
      </w:pPr>
      <w:r>
        <w:rPr>
          <w:rFonts w:hint="eastAsia"/>
        </w:rPr>
        <w:t>2.2</w:t>
      </w:r>
      <w:r>
        <w:rPr>
          <w:rFonts w:hint="eastAsia"/>
        </w:rPr>
        <w:t>确定评价指标</w:t>
      </w:r>
    </w:p>
    <w:p w14:paraId="60D2EAC7" w14:textId="77777777" w:rsidR="0094480D" w:rsidRDefault="002B1EA5">
      <w:pPr>
        <w:ind w:firstLine="480"/>
        <w:rPr>
          <w:sz w:val="24"/>
          <w:szCs w:val="22"/>
        </w:rPr>
      </w:pPr>
      <w:r>
        <w:rPr>
          <w:rFonts w:hint="eastAsia"/>
          <w:sz w:val="24"/>
          <w:szCs w:val="22"/>
        </w:rPr>
        <w:t>在绿色混凝土搅拌站综合评价模型的构建过程中，评价指标应综合反映搅拌站在环境保护、经济效益和社会责任方面的表现，且具有可操作性和科学性</w:t>
      </w:r>
      <w:r>
        <w:rPr>
          <w:rFonts w:hint="eastAsia"/>
          <w:sz w:val="24"/>
          <w:szCs w:val="22"/>
          <w:vertAlign w:val="superscript"/>
        </w:rPr>
        <w:t>[7]</w:t>
      </w:r>
      <w:r>
        <w:rPr>
          <w:rFonts w:hint="eastAsia"/>
          <w:sz w:val="24"/>
          <w:szCs w:val="22"/>
        </w:rPr>
        <w:t>。评价指标如表</w:t>
      </w:r>
      <w:r>
        <w:rPr>
          <w:rFonts w:hint="eastAsia"/>
          <w:sz w:val="24"/>
          <w:szCs w:val="22"/>
        </w:rPr>
        <w:t>2</w:t>
      </w:r>
      <w:r>
        <w:rPr>
          <w:rFonts w:hint="eastAsia"/>
          <w:sz w:val="24"/>
          <w:szCs w:val="22"/>
        </w:rPr>
        <w:t>所示。</w:t>
      </w:r>
    </w:p>
    <w:p w14:paraId="1685B481" w14:textId="77777777" w:rsidR="0094480D" w:rsidRDefault="002B1EA5">
      <w:pPr>
        <w:ind w:firstLineChars="0" w:firstLine="0"/>
        <w:jc w:val="center"/>
      </w:pPr>
      <w:r>
        <w:rPr>
          <w:rFonts w:hint="eastAsia"/>
        </w:rPr>
        <w:t>表</w:t>
      </w:r>
      <w:r>
        <w:rPr>
          <w:rFonts w:hint="eastAsia"/>
        </w:rPr>
        <w:t xml:space="preserve">2 </w:t>
      </w:r>
      <w:r>
        <w:rPr>
          <w:rFonts w:hint="eastAsia"/>
        </w:rPr>
        <w:t>确定评价指标</w:t>
      </w:r>
    </w:p>
    <w:tbl>
      <w:tblPr>
        <w:tblStyle w:val="a6"/>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929"/>
        <w:gridCol w:w="5161"/>
      </w:tblGrid>
      <w:tr w:rsidR="0094480D" w14:paraId="052EA8D3" w14:textId="77777777">
        <w:tc>
          <w:tcPr>
            <w:tcW w:w="1432" w:type="dxa"/>
            <w:tcBorders>
              <w:top w:val="single" w:sz="12" w:space="0" w:color="000000"/>
              <w:bottom w:val="single" w:sz="4" w:space="0" w:color="000000"/>
              <w:tl2br w:val="nil"/>
            </w:tcBorders>
            <w:shd w:val="clear" w:color="auto" w:fill="FFFFFF"/>
            <w:vAlign w:val="center"/>
          </w:tcPr>
          <w:p w14:paraId="226A7508" w14:textId="77777777" w:rsidR="0094480D" w:rsidRDefault="002B1EA5">
            <w:pPr>
              <w:ind w:firstLineChars="0" w:firstLine="0"/>
              <w:jc w:val="center"/>
              <w:rPr>
                <w:color w:val="000000"/>
                <w:sz w:val="21"/>
                <w:szCs w:val="21"/>
              </w:rPr>
            </w:pPr>
            <w:r>
              <w:rPr>
                <w:rFonts w:hint="eastAsia"/>
                <w:color w:val="000000"/>
                <w:sz w:val="21"/>
                <w:szCs w:val="21"/>
              </w:rPr>
              <w:t>一级指标</w:t>
            </w:r>
          </w:p>
        </w:tc>
        <w:tc>
          <w:tcPr>
            <w:tcW w:w="1929" w:type="dxa"/>
            <w:tcBorders>
              <w:top w:val="single" w:sz="12" w:space="0" w:color="000000"/>
              <w:bottom w:val="single" w:sz="4" w:space="0" w:color="000000"/>
            </w:tcBorders>
            <w:shd w:val="clear" w:color="auto" w:fill="FFFFFF"/>
            <w:vAlign w:val="center"/>
          </w:tcPr>
          <w:p w14:paraId="69188846" w14:textId="77777777" w:rsidR="0094480D" w:rsidRDefault="002B1EA5">
            <w:pPr>
              <w:ind w:firstLineChars="0" w:firstLine="0"/>
              <w:jc w:val="center"/>
              <w:rPr>
                <w:color w:val="000000"/>
                <w:sz w:val="21"/>
                <w:szCs w:val="21"/>
              </w:rPr>
            </w:pPr>
            <w:r>
              <w:rPr>
                <w:rFonts w:hint="eastAsia"/>
                <w:color w:val="000000"/>
                <w:sz w:val="21"/>
                <w:szCs w:val="21"/>
              </w:rPr>
              <w:t>二级指标</w:t>
            </w:r>
          </w:p>
        </w:tc>
        <w:tc>
          <w:tcPr>
            <w:tcW w:w="5161" w:type="dxa"/>
            <w:tcBorders>
              <w:top w:val="single" w:sz="12" w:space="0" w:color="000000"/>
              <w:bottom w:val="single" w:sz="4" w:space="0" w:color="000000"/>
            </w:tcBorders>
            <w:shd w:val="clear" w:color="auto" w:fill="FFFFFF"/>
            <w:vAlign w:val="center"/>
          </w:tcPr>
          <w:p w14:paraId="6D30D37F" w14:textId="77777777" w:rsidR="0094480D" w:rsidRDefault="002B1EA5">
            <w:pPr>
              <w:ind w:firstLineChars="0" w:firstLine="0"/>
              <w:jc w:val="center"/>
              <w:rPr>
                <w:color w:val="000000"/>
                <w:sz w:val="21"/>
                <w:szCs w:val="21"/>
              </w:rPr>
            </w:pPr>
            <w:r>
              <w:rPr>
                <w:rFonts w:hint="eastAsia"/>
                <w:color w:val="000000"/>
                <w:sz w:val="21"/>
                <w:szCs w:val="21"/>
              </w:rPr>
              <w:t>指标说明</w:t>
            </w:r>
          </w:p>
        </w:tc>
      </w:tr>
      <w:tr w:rsidR="0094480D" w14:paraId="21B444A0" w14:textId="77777777">
        <w:tc>
          <w:tcPr>
            <w:tcW w:w="1432" w:type="dxa"/>
            <w:vMerge w:val="restart"/>
            <w:tcBorders>
              <w:top w:val="single" w:sz="4" w:space="0" w:color="000000"/>
              <w:tl2br w:val="nil"/>
              <w:tr2bl w:val="nil"/>
            </w:tcBorders>
            <w:shd w:val="clear" w:color="auto" w:fill="FFFFFF"/>
            <w:vAlign w:val="center"/>
          </w:tcPr>
          <w:p w14:paraId="6A0F5987" w14:textId="77777777" w:rsidR="0094480D" w:rsidRDefault="002B1EA5">
            <w:pPr>
              <w:ind w:firstLineChars="0" w:firstLine="0"/>
              <w:jc w:val="center"/>
              <w:rPr>
                <w:color w:val="000000"/>
                <w:sz w:val="21"/>
                <w:szCs w:val="21"/>
              </w:rPr>
            </w:pPr>
            <w:r>
              <w:rPr>
                <w:rFonts w:hint="eastAsia"/>
                <w:color w:val="000000"/>
                <w:sz w:val="21"/>
                <w:szCs w:val="21"/>
              </w:rPr>
              <w:t>环境保护</w:t>
            </w:r>
          </w:p>
        </w:tc>
        <w:tc>
          <w:tcPr>
            <w:tcW w:w="1929" w:type="dxa"/>
            <w:tcBorders>
              <w:top w:val="single" w:sz="4" w:space="0" w:color="000000"/>
              <w:tl2br w:val="nil"/>
              <w:tr2bl w:val="nil"/>
            </w:tcBorders>
            <w:shd w:val="clear" w:color="auto" w:fill="FFFFFF"/>
            <w:vAlign w:val="center"/>
          </w:tcPr>
          <w:p w14:paraId="69EA76B1" w14:textId="77777777" w:rsidR="0094480D" w:rsidRDefault="002B1EA5">
            <w:pPr>
              <w:ind w:firstLineChars="0" w:firstLine="0"/>
              <w:jc w:val="center"/>
              <w:rPr>
                <w:color w:val="000000"/>
                <w:sz w:val="21"/>
                <w:szCs w:val="21"/>
              </w:rPr>
            </w:pPr>
            <w:r>
              <w:rPr>
                <w:rFonts w:hint="eastAsia"/>
                <w:color w:val="000000"/>
                <w:sz w:val="21"/>
                <w:szCs w:val="21"/>
              </w:rPr>
              <w:t>能源消耗量</w:t>
            </w:r>
          </w:p>
        </w:tc>
        <w:tc>
          <w:tcPr>
            <w:tcW w:w="5161" w:type="dxa"/>
            <w:tcBorders>
              <w:top w:val="single" w:sz="4" w:space="0" w:color="000000"/>
              <w:tl2br w:val="nil"/>
              <w:tr2bl w:val="nil"/>
            </w:tcBorders>
            <w:shd w:val="clear" w:color="auto" w:fill="FFFFFF"/>
            <w:vAlign w:val="center"/>
          </w:tcPr>
          <w:p w14:paraId="62D85EA8" w14:textId="77777777" w:rsidR="0094480D" w:rsidRDefault="002B1EA5">
            <w:pPr>
              <w:ind w:firstLineChars="0" w:firstLine="0"/>
              <w:jc w:val="center"/>
              <w:rPr>
                <w:color w:val="000000"/>
                <w:sz w:val="21"/>
                <w:szCs w:val="21"/>
              </w:rPr>
            </w:pPr>
            <w:r>
              <w:rPr>
                <w:rFonts w:hint="eastAsia"/>
                <w:color w:val="000000"/>
                <w:sz w:val="21"/>
                <w:szCs w:val="21"/>
              </w:rPr>
              <w:t>电力和燃料的消耗量等</w:t>
            </w:r>
          </w:p>
        </w:tc>
      </w:tr>
      <w:tr w:rsidR="0094480D" w14:paraId="4B0559BA" w14:textId="77777777">
        <w:tc>
          <w:tcPr>
            <w:tcW w:w="1432" w:type="dxa"/>
            <w:vMerge/>
            <w:tcBorders>
              <w:tl2br w:val="nil"/>
              <w:tr2bl w:val="nil"/>
            </w:tcBorders>
            <w:shd w:val="clear" w:color="auto" w:fill="FFFFFF"/>
            <w:vAlign w:val="center"/>
          </w:tcPr>
          <w:p w14:paraId="1BB96FB1"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33FE8A4E" w14:textId="77777777" w:rsidR="0094480D" w:rsidRDefault="002B1EA5">
            <w:pPr>
              <w:ind w:firstLineChars="0" w:firstLine="0"/>
              <w:jc w:val="center"/>
              <w:rPr>
                <w:color w:val="000000"/>
                <w:sz w:val="21"/>
                <w:szCs w:val="21"/>
              </w:rPr>
            </w:pPr>
            <w:r>
              <w:rPr>
                <w:rFonts w:hint="eastAsia"/>
                <w:color w:val="000000"/>
                <w:sz w:val="21"/>
                <w:szCs w:val="21"/>
              </w:rPr>
              <w:t>废物排放量</w:t>
            </w:r>
          </w:p>
        </w:tc>
        <w:tc>
          <w:tcPr>
            <w:tcW w:w="5161" w:type="dxa"/>
            <w:tcBorders>
              <w:tl2br w:val="nil"/>
              <w:tr2bl w:val="nil"/>
            </w:tcBorders>
            <w:shd w:val="clear" w:color="auto" w:fill="FFFFFF"/>
            <w:vAlign w:val="center"/>
          </w:tcPr>
          <w:p w14:paraId="470CA43C" w14:textId="77777777" w:rsidR="0094480D" w:rsidRDefault="002B1EA5">
            <w:pPr>
              <w:ind w:firstLineChars="0" w:firstLine="0"/>
              <w:jc w:val="center"/>
              <w:rPr>
                <w:color w:val="000000"/>
                <w:sz w:val="21"/>
                <w:szCs w:val="21"/>
              </w:rPr>
            </w:pPr>
            <w:r>
              <w:rPr>
                <w:rFonts w:hint="eastAsia"/>
                <w:color w:val="000000"/>
                <w:sz w:val="21"/>
                <w:szCs w:val="21"/>
              </w:rPr>
              <w:t>包括固体废物和废水排放量</w:t>
            </w:r>
          </w:p>
        </w:tc>
      </w:tr>
      <w:tr w:rsidR="0094480D" w14:paraId="6BC6B294" w14:textId="77777777">
        <w:tc>
          <w:tcPr>
            <w:tcW w:w="1432" w:type="dxa"/>
            <w:vMerge/>
            <w:tcBorders>
              <w:tl2br w:val="nil"/>
              <w:tr2bl w:val="nil"/>
            </w:tcBorders>
            <w:shd w:val="clear" w:color="auto" w:fill="FFFFFF"/>
            <w:vAlign w:val="center"/>
          </w:tcPr>
          <w:p w14:paraId="27501CCC"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476D8AFC" w14:textId="77777777" w:rsidR="0094480D" w:rsidRDefault="002B1EA5">
            <w:pPr>
              <w:ind w:firstLineChars="0" w:firstLine="0"/>
              <w:jc w:val="center"/>
              <w:rPr>
                <w:color w:val="000000"/>
                <w:sz w:val="21"/>
                <w:szCs w:val="21"/>
              </w:rPr>
            </w:pPr>
            <w:r>
              <w:rPr>
                <w:rFonts w:hint="eastAsia"/>
                <w:color w:val="000000"/>
                <w:sz w:val="21"/>
                <w:szCs w:val="21"/>
              </w:rPr>
              <w:t>排放物的处理</w:t>
            </w:r>
          </w:p>
        </w:tc>
        <w:tc>
          <w:tcPr>
            <w:tcW w:w="5161" w:type="dxa"/>
            <w:tcBorders>
              <w:tl2br w:val="nil"/>
              <w:tr2bl w:val="nil"/>
            </w:tcBorders>
            <w:shd w:val="clear" w:color="auto" w:fill="FFFFFF"/>
            <w:vAlign w:val="center"/>
          </w:tcPr>
          <w:p w14:paraId="5079CD52" w14:textId="77777777" w:rsidR="0094480D" w:rsidRDefault="002B1EA5">
            <w:pPr>
              <w:ind w:firstLineChars="0" w:firstLine="0"/>
              <w:jc w:val="center"/>
              <w:rPr>
                <w:color w:val="000000"/>
                <w:sz w:val="21"/>
                <w:szCs w:val="21"/>
              </w:rPr>
            </w:pPr>
            <w:r>
              <w:rPr>
                <w:rFonts w:hint="eastAsia"/>
                <w:color w:val="000000"/>
                <w:sz w:val="21"/>
                <w:szCs w:val="21"/>
              </w:rPr>
              <w:t>包括对</w:t>
            </w:r>
            <w:r>
              <w:rPr>
                <w:color w:val="000000"/>
                <w:sz w:val="21"/>
                <w:szCs w:val="21"/>
              </w:rPr>
              <w:t>水泥粉尘、废弃混凝土、废水和其他废物</w:t>
            </w:r>
            <w:r>
              <w:rPr>
                <w:rFonts w:hint="eastAsia"/>
                <w:color w:val="000000"/>
                <w:sz w:val="21"/>
                <w:szCs w:val="21"/>
              </w:rPr>
              <w:t>的处理</w:t>
            </w:r>
          </w:p>
        </w:tc>
      </w:tr>
      <w:tr w:rsidR="0094480D" w14:paraId="077BDE26" w14:textId="77777777">
        <w:tc>
          <w:tcPr>
            <w:tcW w:w="1432" w:type="dxa"/>
            <w:vMerge/>
            <w:tcBorders>
              <w:tl2br w:val="nil"/>
              <w:tr2bl w:val="nil"/>
            </w:tcBorders>
            <w:shd w:val="clear" w:color="auto" w:fill="FFFFFF"/>
            <w:vAlign w:val="center"/>
          </w:tcPr>
          <w:p w14:paraId="40BDD845"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4E1E9653" w14:textId="77777777" w:rsidR="0094480D" w:rsidRDefault="002B1EA5">
            <w:pPr>
              <w:ind w:firstLineChars="0" w:firstLine="0"/>
              <w:jc w:val="center"/>
              <w:rPr>
                <w:color w:val="000000"/>
                <w:sz w:val="21"/>
                <w:szCs w:val="21"/>
              </w:rPr>
            </w:pPr>
            <w:r>
              <w:rPr>
                <w:rFonts w:hint="eastAsia"/>
                <w:color w:val="000000"/>
                <w:sz w:val="21"/>
                <w:szCs w:val="21"/>
              </w:rPr>
              <w:t>循环利用率</w:t>
            </w:r>
          </w:p>
        </w:tc>
        <w:tc>
          <w:tcPr>
            <w:tcW w:w="5161" w:type="dxa"/>
            <w:tcBorders>
              <w:tl2br w:val="nil"/>
              <w:tr2bl w:val="nil"/>
            </w:tcBorders>
            <w:shd w:val="clear" w:color="auto" w:fill="FFFFFF"/>
            <w:vAlign w:val="center"/>
          </w:tcPr>
          <w:p w14:paraId="0679BE08" w14:textId="77777777" w:rsidR="0094480D" w:rsidRDefault="002B1EA5">
            <w:pPr>
              <w:ind w:firstLineChars="0" w:firstLine="0"/>
              <w:jc w:val="center"/>
              <w:rPr>
                <w:color w:val="000000"/>
                <w:sz w:val="21"/>
                <w:szCs w:val="21"/>
              </w:rPr>
            </w:pPr>
            <w:r>
              <w:rPr>
                <w:color w:val="000000"/>
                <w:sz w:val="21"/>
                <w:szCs w:val="21"/>
              </w:rPr>
              <w:t>指混凝土搅拌站在生产过程中对废弃物和资源进行回收和再利用的比率</w:t>
            </w:r>
          </w:p>
        </w:tc>
      </w:tr>
      <w:tr w:rsidR="0094480D" w14:paraId="1A7BE099" w14:textId="77777777">
        <w:tc>
          <w:tcPr>
            <w:tcW w:w="1432" w:type="dxa"/>
            <w:vMerge/>
            <w:tcBorders>
              <w:tl2br w:val="nil"/>
              <w:tr2bl w:val="nil"/>
            </w:tcBorders>
            <w:shd w:val="clear" w:color="auto" w:fill="FFFFFF"/>
            <w:vAlign w:val="center"/>
          </w:tcPr>
          <w:p w14:paraId="360615D9"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2280E898" w14:textId="77777777" w:rsidR="0094480D" w:rsidRDefault="002B1EA5">
            <w:pPr>
              <w:ind w:firstLineChars="0" w:firstLine="0"/>
              <w:jc w:val="center"/>
              <w:rPr>
                <w:color w:val="000000"/>
                <w:sz w:val="21"/>
                <w:szCs w:val="21"/>
              </w:rPr>
            </w:pPr>
            <w:r>
              <w:rPr>
                <w:rFonts w:hint="eastAsia"/>
                <w:color w:val="000000"/>
                <w:sz w:val="21"/>
                <w:szCs w:val="21"/>
              </w:rPr>
              <w:t>排放物的污染程度</w:t>
            </w:r>
          </w:p>
        </w:tc>
        <w:tc>
          <w:tcPr>
            <w:tcW w:w="5161" w:type="dxa"/>
            <w:tcBorders>
              <w:tl2br w:val="nil"/>
              <w:tr2bl w:val="nil"/>
            </w:tcBorders>
            <w:shd w:val="clear" w:color="auto" w:fill="FFFFFF"/>
            <w:vAlign w:val="center"/>
          </w:tcPr>
          <w:p w14:paraId="4667E2FD" w14:textId="77777777" w:rsidR="0094480D" w:rsidRDefault="002B1EA5">
            <w:pPr>
              <w:ind w:firstLineChars="0" w:firstLine="0"/>
              <w:jc w:val="center"/>
              <w:rPr>
                <w:color w:val="000000"/>
                <w:sz w:val="21"/>
                <w:szCs w:val="21"/>
              </w:rPr>
            </w:pPr>
            <w:r>
              <w:rPr>
                <w:color w:val="000000"/>
                <w:sz w:val="21"/>
                <w:szCs w:val="21"/>
              </w:rPr>
              <w:t>混凝土搅拌站排放的废气、废水和粉尘等对环境造成污染的程度或强度。</w:t>
            </w:r>
          </w:p>
        </w:tc>
      </w:tr>
      <w:tr w:rsidR="0094480D" w14:paraId="298C9079" w14:textId="77777777">
        <w:tc>
          <w:tcPr>
            <w:tcW w:w="1432" w:type="dxa"/>
            <w:vMerge w:val="restart"/>
            <w:tcBorders>
              <w:tl2br w:val="nil"/>
              <w:tr2bl w:val="nil"/>
            </w:tcBorders>
            <w:shd w:val="clear" w:color="auto" w:fill="FFFFFF"/>
            <w:vAlign w:val="center"/>
          </w:tcPr>
          <w:p w14:paraId="1D641B83" w14:textId="77777777" w:rsidR="0094480D" w:rsidRDefault="002B1EA5">
            <w:pPr>
              <w:ind w:firstLineChars="0" w:firstLine="0"/>
              <w:jc w:val="center"/>
              <w:rPr>
                <w:color w:val="000000"/>
                <w:sz w:val="21"/>
                <w:szCs w:val="21"/>
              </w:rPr>
            </w:pPr>
            <w:r>
              <w:rPr>
                <w:rFonts w:hint="eastAsia"/>
                <w:color w:val="000000"/>
                <w:sz w:val="21"/>
                <w:szCs w:val="21"/>
              </w:rPr>
              <w:t>经济效益</w:t>
            </w:r>
          </w:p>
        </w:tc>
        <w:tc>
          <w:tcPr>
            <w:tcW w:w="1929" w:type="dxa"/>
            <w:tcBorders>
              <w:tl2br w:val="nil"/>
              <w:tr2bl w:val="nil"/>
            </w:tcBorders>
            <w:shd w:val="clear" w:color="auto" w:fill="FFFFFF"/>
            <w:vAlign w:val="center"/>
          </w:tcPr>
          <w:p w14:paraId="24802079" w14:textId="77777777" w:rsidR="0094480D" w:rsidRDefault="002B1EA5">
            <w:pPr>
              <w:ind w:firstLineChars="0" w:firstLine="0"/>
              <w:jc w:val="center"/>
              <w:rPr>
                <w:color w:val="000000"/>
                <w:sz w:val="21"/>
                <w:szCs w:val="21"/>
              </w:rPr>
            </w:pPr>
            <w:r>
              <w:rPr>
                <w:rFonts w:hint="eastAsia"/>
                <w:color w:val="000000"/>
                <w:sz w:val="21"/>
                <w:szCs w:val="21"/>
              </w:rPr>
              <w:t>成本效益</w:t>
            </w:r>
          </w:p>
        </w:tc>
        <w:tc>
          <w:tcPr>
            <w:tcW w:w="5161" w:type="dxa"/>
            <w:tcBorders>
              <w:tl2br w:val="nil"/>
              <w:tr2bl w:val="nil"/>
            </w:tcBorders>
            <w:shd w:val="clear" w:color="auto" w:fill="FFFFFF"/>
            <w:vAlign w:val="center"/>
          </w:tcPr>
          <w:p w14:paraId="626A780E" w14:textId="77777777" w:rsidR="0094480D" w:rsidRDefault="002B1EA5">
            <w:pPr>
              <w:ind w:firstLineChars="0" w:firstLine="0"/>
              <w:jc w:val="center"/>
              <w:rPr>
                <w:color w:val="000000"/>
                <w:sz w:val="21"/>
                <w:szCs w:val="21"/>
              </w:rPr>
            </w:pPr>
            <w:r>
              <w:rPr>
                <w:rFonts w:hint="eastAsia"/>
                <w:color w:val="000000"/>
                <w:sz w:val="21"/>
                <w:szCs w:val="21"/>
              </w:rPr>
              <w:t>包括生产成本、运营成本和维护成本等</w:t>
            </w:r>
          </w:p>
        </w:tc>
      </w:tr>
      <w:tr w:rsidR="0094480D" w14:paraId="0E95567F" w14:textId="77777777">
        <w:tc>
          <w:tcPr>
            <w:tcW w:w="1432" w:type="dxa"/>
            <w:vMerge/>
            <w:tcBorders>
              <w:tl2br w:val="nil"/>
              <w:tr2bl w:val="nil"/>
            </w:tcBorders>
            <w:shd w:val="clear" w:color="auto" w:fill="FFFFFF"/>
            <w:vAlign w:val="center"/>
          </w:tcPr>
          <w:p w14:paraId="108F2E34"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5FEC35DD" w14:textId="77777777" w:rsidR="0094480D" w:rsidRDefault="002B1EA5">
            <w:pPr>
              <w:ind w:firstLineChars="0" w:firstLine="0"/>
              <w:jc w:val="center"/>
              <w:rPr>
                <w:color w:val="000000"/>
                <w:sz w:val="21"/>
                <w:szCs w:val="21"/>
              </w:rPr>
            </w:pPr>
            <w:r>
              <w:rPr>
                <w:rFonts w:hint="eastAsia"/>
                <w:color w:val="000000"/>
                <w:sz w:val="21"/>
                <w:szCs w:val="21"/>
              </w:rPr>
              <w:t>投资回报率</w:t>
            </w:r>
          </w:p>
        </w:tc>
        <w:tc>
          <w:tcPr>
            <w:tcW w:w="5161" w:type="dxa"/>
            <w:tcBorders>
              <w:tl2br w:val="nil"/>
              <w:tr2bl w:val="nil"/>
            </w:tcBorders>
            <w:shd w:val="clear" w:color="auto" w:fill="FFFFFF"/>
            <w:vAlign w:val="center"/>
          </w:tcPr>
          <w:p w14:paraId="03DB493D" w14:textId="77777777" w:rsidR="0094480D" w:rsidRDefault="002B1EA5">
            <w:pPr>
              <w:ind w:firstLineChars="0" w:firstLine="0"/>
              <w:jc w:val="center"/>
              <w:rPr>
                <w:color w:val="000000"/>
                <w:sz w:val="21"/>
                <w:szCs w:val="21"/>
              </w:rPr>
            </w:pPr>
            <w:r>
              <w:rPr>
                <w:color w:val="000000"/>
                <w:sz w:val="21"/>
                <w:szCs w:val="21"/>
              </w:rPr>
              <w:t>投资收益与投资成本之间的比率</w:t>
            </w:r>
          </w:p>
        </w:tc>
      </w:tr>
      <w:tr w:rsidR="0094480D" w14:paraId="2EE58884" w14:textId="77777777">
        <w:tc>
          <w:tcPr>
            <w:tcW w:w="1432" w:type="dxa"/>
            <w:vMerge/>
            <w:tcBorders>
              <w:tl2br w:val="nil"/>
              <w:tr2bl w:val="nil"/>
            </w:tcBorders>
            <w:shd w:val="clear" w:color="auto" w:fill="FFFFFF"/>
            <w:vAlign w:val="center"/>
          </w:tcPr>
          <w:p w14:paraId="1223F57F"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088DB4D3" w14:textId="77777777" w:rsidR="0094480D" w:rsidRDefault="002B1EA5">
            <w:pPr>
              <w:ind w:firstLineChars="0" w:firstLine="0"/>
              <w:jc w:val="center"/>
              <w:rPr>
                <w:color w:val="000000"/>
                <w:sz w:val="21"/>
                <w:szCs w:val="21"/>
              </w:rPr>
            </w:pPr>
            <w:r>
              <w:rPr>
                <w:rFonts w:hint="eastAsia"/>
                <w:color w:val="000000"/>
                <w:sz w:val="21"/>
                <w:szCs w:val="21"/>
              </w:rPr>
              <w:t>市场竞争力</w:t>
            </w:r>
          </w:p>
        </w:tc>
        <w:tc>
          <w:tcPr>
            <w:tcW w:w="5161" w:type="dxa"/>
            <w:tcBorders>
              <w:tl2br w:val="nil"/>
              <w:tr2bl w:val="nil"/>
            </w:tcBorders>
            <w:shd w:val="clear" w:color="auto" w:fill="FFFFFF"/>
            <w:vAlign w:val="center"/>
          </w:tcPr>
          <w:p w14:paraId="3F5EB228" w14:textId="77777777" w:rsidR="0094480D" w:rsidRDefault="002B1EA5">
            <w:pPr>
              <w:ind w:firstLineChars="0" w:firstLine="0"/>
              <w:jc w:val="center"/>
              <w:rPr>
                <w:color w:val="000000"/>
                <w:sz w:val="21"/>
                <w:szCs w:val="21"/>
              </w:rPr>
            </w:pPr>
            <w:r>
              <w:rPr>
                <w:color w:val="000000"/>
                <w:sz w:val="21"/>
                <w:szCs w:val="21"/>
              </w:rPr>
              <w:t>在市场上相对于竞争对手的竞争优势</w:t>
            </w:r>
          </w:p>
        </w:tc>
      </w:tr>
      <w:tr w:rsidR="0094480D" w14:paraId="440CF384" w14:textId="77777777">
        <w:tc>
          <w:tcPr>
            <w:tcW w:w="1432" w:type="dxa"/>
            <w:vMerge/>
            <w:tcBorders>
              <w:tl2br w:val="nil"/>
              <w:tr2bl w:val="nil"/>
            </w:tcBorders>
            <w:shd w:val="clear" w:color="auto" w:fill="FFFFFF"/>
            <w:vAlign w:val="center"/>
          </w:tcPr>
          <w:p w14:paraId="36B2FD94"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0BB6F780" w14:textId="77777777" w:rsidR="0094480D" w:rsidRDefault="002B1EA5">
            <w:pPr>
              <w:ind w:firstLineChars="0" w:firstLine="0"/>
              <w:jc w:val="center"/>
              <w:rPr>
                <w:color w:val="000000"/>
                <w:sz w:val="21"/>
                <w:szCs w:val="21"/>
              </w:rPr>
            </w:pPr>
            <w:r>
              <w:rPr>
                <w:rFonts w:hint="eastAsia"/>
                <w:color w:val="000000"/>
                <w:sz w:val="21"/>
                <w:szCs w:val="21"/>
              </w:rPr>
              <w:t>经济增长潜力</w:t>
            </w:r>
          </w:p>
        </w:tc>
        <w:tc>
          <w:tcPr>
            <w:tcW w:w="5161" w:type="dxa"/>
            <w:tcBorders>
              <w:tl2br w:val="nil"/>
              <w:tr2bl w:val="nil"/>
            </w:tcBorders>
            <w:shd w:val="clear" w:color="auto" w:fill="FFFFFF"/>
            <w:vAlign w:val="center"/>
          </w:tcPr>
          <w:p w14:paraId="0541B016" w14:textId="77777777" w:rsidR="0094480D" w:rsidRDefault="002B1EA5">
            <w:pPr>
              <w:ind w:firstLineChars="0" w:firstLine="0"/>
              <w:jc w:val="center"/>
              <w:rPr>
                <w:color w:val="000000"/>
                <w:sz w:val="21"/>
                <w:szCs w:val="21"/>
              </w:rPr>
            </w:pPr>
            <w:r>
              <w:rPr>
                <w:color w:val="000000"/>
                <w:sz w:val="21"/>
                <w:szCs w:val="21"/>
              </w:rPr>
              <w:t>未来扩展业务、增加收入和提升市场份额的能力</w:t>
            </w:r>
          </w:p>
        </w:tc>
      </w:tr>
      <w:tr w:rsidR="0094480D" w14:paraId="342A8598" w14:textId="77777777">
        <w:tc>
          <w:tcPr>
            <w:tcW w:w="1432" w:type="dxa"/>
            <w:vMerge/>
            <w:tcBorders>
              <w:tl2br w:val="nil"/>
              <w:tr2bl w:val="nil"/>
            </w:tcBorders>
            <w:shd w:val="clear" w:color="auto" w:fill="FFFFFF"/>
            <w:vAlign w:val="center"/>
          </w:tcPr>
          <w:p w14:paraId="3FE6D948"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162A8031" w14:textId="77777777" w:rsidR="0094480D" w:rsidRDefault="002B1EA5">
            <w:pPr>
              <w:ind w:firstLineChars="0" w:firstLine="0"/>
              <w:jc w:val="center"/>
              <w:rPr>
                <w:color w:val="000000"/>
                <w:sz w:val="21"/>
                <w:szCs w:val="21"/>
              </w:rPr>
            </w:pPr>
            <w:r>
              <w:rPr>
                <w:rFonts w:hint="eastAsia"/>
                <w:color w:val="000000"/>
                <w:sz w:val="21"/>
                <w:szCs w:val="21"/>
              </w:rPr>
              <w:t>盈利能力</w:t>
            </w:r>
          </w:p>
        </w:tc>
        <w:tc>
          <w:tcPr>
            <w:tcW w:w="5161" w:type="dxa"/>
            <w:tcBorders>
              <w:tl2br w:val="nil"/>
              <w:tr2bl w:val="nil"/>
            </w:tcBorders>
            <w:shd w:val="clear" w:color="auto" w:fill="FFFFFF"/>
            <w:vAlign w:val="center"/>
          </w:tcPr>
          <w:p w14:paraId="778493E4" w14:textId="77777777" w:rsidR="0094480D" w:rsidRDefault="002B1EA5">
            <w:pPr>
              <w:ind w:firstLineChars="0" w:firstLine="0"/>
              <w:jc w:val="center"/>
              <w:rPr>
                <w:color w:val="000000"/>
                <w:sz w:val="21"/>
                <w:szCs w:val="21"/>
              </w:rPr>
            </w:pPr>
            <w:r>
              <w:rPr>
                <w:color w:val="000000"/>
                <w:sz w:val="21"/>
                <w:szCs w:val="21"/>
              </w:rPr>
              <w:t>通过其运营活动产生利润的能力</w:t>
            </w:r>
          </w:p>
        </w:tc>
      </w:tr>
      <w:tr w:rsidR="0094480D" w14:paraId="13D7682E" w14:textId="77777777">
        <w:tc>
          <w:tcPr>
            <w:tcW w:w="1432" w:type="dxa"/>
            <w:vMerge w:val="restart"/>
            <w:tcBorders>
              <w:tl2br w:val="nil"/>
              <w:tr2bl w:val="nil"/>
            </w:tcBorders>
            <w:shd w:val="clear" w:color="auto" w:fill="FFFFFF"/>
            <w:vAlign w:val="center"/>
          </w:tcPr>
          <w:p w14:paraId="5E53E41F" w14:textId="77777777" w:rsidR="0094480D" w:rsidRDefault="002B1EA5">
            <w:pPr>
              <w:ind w:firstLineChars="0" w:firstLine="0"/>
              <w:jc w:val="center"/>
              <w:rPr>
                <w:color w:val="000000"/>
                <w:sz w:val="21"/>
                <w:szCs w:val="21"/>
              </w:rPr>
            </w:pPr>
            <w:r>
              <w:rPr>
                <w:rFonts w:hint="eastAsia"/>
                <w:color w:val="000000"/>
                <w:sz w:val="21"/>
                <w:szCs w:val="21"/>
              </w:rPr>
              <w:t>社会责任</w:t>
            </w:r>
          </w:p>
        </w:tc>
        <w:tc>
          <w:tcPr>
            <w:tcW w:w="1929" w:type="dxa"/>
            <w:tcBorders>
              <w:tl2br w:val="nil"/>
              <w:tr2bl w:val="nil"/>
            </w:tcBorders>
            <w:shd w:val="clear" w:color="auto" w:fill="FFFFFF"/>
            <w:vAlign w:val="center"/>
          </w:tcPr>
          <w:p w14:paraId="5363532D" w14:textId="77777777" w:rsidR="0094480D" w:rsidRDefault="002B1EA5">
            <w:pPr>
              <w:ind w:firstLineChars="0" w:firstLine="0"/>
              <w:jc w:val="center"/>
              <w:rPr>
                <w:color w:val="000000"/>
                <w:sz w:val="21"/>
                <w:szCs w:val="21"/>
              </w:rPr>
            </w:pPr>
            <w:r>
              <w:rPr>
                <w:rFonts w:hint="eastAsia"/>
                <w:color w:val="000000"/>
                <w:sz w:val="21"/>
                <w:szCs w:val="21"/>
              </w:rPr>
              <w:t>对就业的贡献</w:t>
            </w:r>
          </w:p>
        </w:tc>
        <w:tc>
          <w:tcPr>
            <w:tcW w:w="5161" w:type="dxa"/>
            <w:tcBorders>
              <w:tl2br w:val="nil"/>
              <w:tr2bl w:val="nil"/>
            </w:tcBorders>
            <w:shd w:val="clear" w:color="auto" w:fill="FFFFFF"/>
            <w:vAlign w:val="center"/>
          </w:tcPr>
          <w:p w14:paraId="247ABDFD" w14:textId="77777777" w:rsidR="0094480D" w:rsidRDefault="002B1EA5">
            <w:pPr>
              <w:ind w:firstLine="420"/>
              <w:jc w:val="center"/>
              <w:rPr>
                <w:color w:val="000000"/>
                <w:sz w:val="21"/>
                <w:szCs w:val="21"/>
              </w:rPr>
            </w:pPr>
            <w:r>
              <w:rPr>
                <w:color w:val="000000"/>
                <w:sz w:val="21"/>
                <w:szCs w:val="21"/>
              </w:rPr>
              <w:t>在运营过程中创造工作岗位和促进就业机会的能力</w:t>
            </w:r>
          </w:p>
        </w:tc>
      </w:tr>
      <w:tr w:rsidR="0094480D" w14:paraId="63A205F0" w14:textId="77777777">
        <w:tc>
          <w:tcPr>
            <w:tcW w:w="1432" w:type="dxa"/>
            <w:vMerge/>
            <w:tcBorders>
              <w:tl2br w:val="nil"/>
              <w:tr2bl w:val="nil"/>
            </w:tcBorders>
            <w:shd w:val="clear" w:color="auto" w:fill="FFFFFF"/>
            <w:vAlign w:val="center"/>
          </w:tcPr>
          <w:p w14:paraId="49C47B4F"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11BB744C" w14:textId="77777777" w:rsidR="0094480D" w:rsidRDefault="002B1EA5">
            <w:pPr>
              <w:ind w:firstLineChars="0" w:firstLine="0"/>
              <w:jc w:val="center"/>
              <w:rPr>
                <w:color w:val="000000"/>
                <w:sz w:val="21"/>
                <w:szCs w:val="21"/>
              </w:rPr>
            </w:pPr>
            <w:r>
              <w:rPr>
                <w:rFonts w:hint="eastAsia"/>
                <w:color w:val="000000"/>
                <w:sz w:val="21"/>
                <w:szCs w:val="21"/>
              </w:rPr>
              <w:t>社区参与和支持</w:t>
            </w:r>
          </w:p>
        </w:tc>
        <w:tc>
          <w:tcPr>
            <w:tcW w:w="5161" w:type="dxa"/>
            <w:tcBorders>
              <w:tl2br w:val="nil"/>
              <w:tr2bl w:val="nil"/>
            </w:tcBorders>
            <w:shd w:val="clear" w:color="auto" w:fill="FFFFFF"/>
            <w:vAlign w:val="center"/>
          </w:tcPr>
          <w:p w14:paraId="5F693EFB" w14:textId="77777777" w:rsidR="0094480D" w:rsidRDefault="002B1EA5">
            <w:pPr>
              <w:ind w:firstLine="420"/>
              <w:jc w:val="center"/>
              <w:rPr>
                <w:color w:val="000000"/>
                <w:sz w:val="21"/>
                <w:szCs w:val="21"/>
              </w:rPr>
            </w:pPr>
            <w:r>
              <w:rPr>
                <w:color w:val="000000"/>
                <w:sz w:val="21"/>
                <w:szCs w:val="21"/>
              </w:rPr>
              <w:t>当地社区活动中的参与程度和对社区发展的支持力度</w:t>
            </w:r>
          </w:p>
        </w:tc>
      </w:tr>
      <w:tr w:rsidR="0094480D" w14:paraId="6CE56781" w14:textId="77777777">
        <w:tc>
          <w:tcPr>
            <w:tcW w:w="1432" w:type="dxa"/>
            <w:vMerge/>
            <w:tcBorders>
              <w:tl2br w:val="nil"/>
              <w:tr2bl w:val="nil"/>
            </w:tcBorders>
            <w:shd w:val="clear" w:color="auto" w:fill="FFFFFF"/>
            <w:vAlign w:val="center"/>
          </w:tcPr>
          <w:p w14:paraId="59CAB176"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5006DD93" w14:textId="77777777" w:rsidR="0094480D" w:rsidRDefault="002B1EA5">
            <w:pPr>
              <w:ind w:firstLineChars="0" w:firstLine="0"/>
              <w:jc w:val="center"/>
              <w:rPr>
                <w:color w:val="000000"/>
                <w:sz w:val="21"/>
                <w:szCs w:val="21"/>
              </w:rPr>
            </w:pPr>
            <w:r>
              <w:rPr>
                <w:rFonts w:hint="eastAsia"/>
                <w:color w:val="000000"/>
                <w:sz w:val="21"/>
                <w:szCs w:val="21"/>
              </w:rPr>
              <w:t>工作场所安全</w:t>
            </w:r>
          </w:p>
        </w:tc>
        <w:tc>
          <w:tcPr>
            <w:tcW w:w="5161" w:type="dxa"/>
            <w:tcBorders>
              <w:tl2br w:val="nil"/>
              <w:tr2bl w:val="nil"/>
            </w:tcBorders>
            <w:shd w:val="clear" w:color="auto" w:fill="FFFFFF"/>
            <w:vAlign w:val="center"/>
          </w:tcPr>
          <w:p w14:paraId="326F24D9" w14:textId="77777777" w:rsidR="0094480D" w:rsidRDefault="002B1EA5">
            <w:pPr>
              <w:ind w:firstLine="420"/>
              <w:jc w:val="center"/>
              <w:rPr>
                <w:color w:val="000000"/>
                <w:sz w:val="21"/>
                <w:szCs w:val="21"/>
              </w:rPr>
            </w:pPr>
            <w:r>
              <w:rPr>
                <w:color w:val="000000"/>
                <w:sz w:val="21"/>
                <w:szCs w:val="21"/>
              </w:rPr>
              <w:t>确保员工工作环境的安全性、预防职业伤害和健康风险方面的措施和表现</w:t>
            </w:r>
          </w:p>
        </w:tc>
      </w:tr>
      <w:tr w:rsidR="0094480D" w14:paraId="36F33108" w14:textId="77777777">
        <w:tc>
          <w:tcPr>
            <w:tcW w:w="1432" w:type="dxa"/>
            <w:vMerge/>
            <w:tcBorders>
              <w:tl2br w:val="nil"/>
              <w:tr2bl w:val="nil"/>
            </w:tcBorders>
            <w:shd w:val="clear" w:color="auto" w:fill="FFFFFF"/>
            <w:vAlign w:val="center"/>
          </w:tcPr>
          <w:p w14:paraId="37C0B56D" w14:textId="77777777" w:rsidR="0094480D" w:rsidRDefault="0094480D">
            <w:pPr>
              <w:ind w:firstLine="420"/>
              <w:jc w:val="center"/>
              <w:rPr>
                <w:color w:val="000000"/>
                <w:sz w:val="21"/>
                <w:szCs w:val="21"/>
              </w:rPr>
            </w:pPr>
          </w:p>
        </w:tc>
        <w:tc>
          <w:tcPr>
            <w:tcW w:w="1929" w:type="dxa"/>
            <w:tcBorders>
              <w:tl2br w:val="nil"/>
              <w:tr2bl w:val="nil"/>
            </w:tcBorders>
            <w:shd w:val="clear" w:color="auto" w:fill="FFFFFF"/>
            <w:vAlign w:val="center"/>
          </w:tcPr>
          <w:p w14:paraId="76FCF049" w14:textId="77777777" w:rsidR="0094480D" w:rsidRDefault="002B1EA5">
            <w:pPr>
              <w:ind w:firstLineChars="0" w:firstLine="0"/>
              <w:jc w:val="center"/>
              <w:rPr>
                <w:color w:val="000000"/>
                <w:sz w:val="21"/>
                <w:szCs w:val="21"/>
              </w:rPr>
            </w:pPr>
            <w:r>
              <w:rPr>
                <w:rFonts w:hint="eastAsia"/>
                <w:color w:val="000000"/>
                <w:sz w:val="21"/>
                <w:szCs w:val="21"/>
              </w:rPr>
              <w:t>员工福利</w:t>
            </w:r>
          </w:p>
        </w:tc>
        <w:tc>
          <w:tcPr>
            <w:tcW w:w="5161" w:type="dxa"/>
            <w:tcBorders>
              <w:tl2br w:val="nil"/>
              <w:tr2bl w:val="nil"/>
            </w:tcBorders>
            <w:shd w:val="clear" w:color="auto" w:fill="FFFFFF"/>
            <w:vAlign w:val="center"/>
          </w:tcPr>
          <w:p w14:paraId="609B0A9E" w14:textId="77777777" w:rsidR="0094480D" w:rsidRDefault="002B1EA5">
            <w:pPr>
              <w:ind w:firstLine="420"/>
              <w:jc w:val="center"/>
              <w:rPr>
                <w:color w:val="000000"/>
                <w:sz w:val="21"/>
                <w:szCs w:val="21"/>
              </w:rPr>
            </w:pPr>
            <w:r>
              <w:rPr>
                <w:color w:val="000000"/>
                <w:sz w:val="21"/>
                <w:szCs w:val="21"/>
              </w:rPr>
              <w:t>员工的各种额外福利</w:t>
            </w:r>
          </w:p>
        </w:tc>
      </w:tr>
      <w:tr w:rsidR="0094480D" w14:paraId="01E802E1" w14:textId="77777777">
        <w:tc>
          <w:tcPr>
            <w:tcW w:w="1432" w:type="dxa"/>
            <w:vMerge/>
            <w:tcBorders>
              <w:bottom w:val="single" w:sz="12" w:space="0" w:color="000000"/>
              <w:tl2br w:val="nil"/>
              <w:tr2bl w:val="nil"/>
            </w:tcBorders>
            <w:shd w:val="clear" w:color="auto" w:fill="FFFFFF"/>
            <w:vAlign w:val="center"/>
          </w:tcPr>
          <w:p w14:paraId="2AACCD62" w14:textId="77777777" w:rsidR="0094480D" w:rsidRDefault="0094480D">
            <w:pPr>
              <w:ind w:firstLine="420"/>
              <w:jc w:val="center"/>
              <w:rPr>
                <w:color w:val="000000"/>
                <w:sz w:val="21"/>
                <w:szCs w:val="21"/>
              </w:rPr>
            </w:pPr>
          </w:p>
        </w:tc>
        <w:tc>
          <w:tcPr>
            <w:tcW w:w="1929" w:type="dxa"/>
            <w:tcBorders>
              <w:bottom w:val="single" w:sz="12" w:space="0" w:color="000000"/>
              <w:tl2br w:val="nil"/>
              <w:tr2bl w:val="nil"/>
            </w:tcBorders>
            <w:shd w:val="clear" w:color="auto" w:fill="FFFFFF"/>
            <w:vAlign w:val="center"/>
          </w:tcPr>
          <w:p w14:paraId="424FFB66" w14:textId="77777777" w:rsidR="0094480D" w:rsidRDefault="002B1EA5">
            <w:pPr>
              <w:ind w:firstLineChars="0" w:firstLine="0"/>
              <w:jc w:val="center"/>
              <w:rPr>
                <w:color w:val="000000"/>
                <w:sz w:val="21"/>
                <w:szCs w:val="21"/>
              </w:rPr>
            </w:pPr>
            <w:r>
              <w:rPr>
                <w:rFonts w:hint="eastAsia"/>
                <w:color w:val="000000"/>
                <w:sz w:val="21"/>
                <w:szCs w:val="21"/>
              </w:rPr>
              <w:t>企业社会信誉</w:t>
            </w:r>
          </w:p>
        </w:tc>
        <w:tc>
          <w:tcPr>
            <w:tcW w:w="5161" w:type="dxa"/>
            <w:tcBorders>
              <w:bottom w:val="single" w:sz="12" w:space="0" w:color="000000"/>
              <w:tl2br w:val="nil"/>
              <w:tr2bl w:val="nil"/>
            </w:tcBorders>
            <w:shd w:val="clear" w:color="auto" w:fill="FFFFFF"/>
            <w:vAlign w:val="center"/>
          </w:tcPr>
          <w:p w14:paraId="116C46E2" w14:textId="77777777" w:rsidR="0094480D" w:rsidRDefault="002B1EA5">
            <w:pPr>
              <w:ind w:firstLine="420"/>
              <w:jc w:val="center"/>
              <w:rPr>
                <w:color w:val="000000"/>
                <w:sz w:val="21"/>
                <w:szCs w:val="21"/>
              </w:rPr>
            </w:pPr>
            <w:r>
              <w:rPr>
                <w:color w:val="000000"/>
                <w:sz w:val="21"/>
                <w:szCs w:val="21"/>
              </w:rPr>
              <w:t>在社会公众、客户和行业内的声誉和信任度</w:t>
            </w:r>
          </w:p>
        </w:tc>
      </w:tr>
    </w:tbl>
    <w:p w14:paraId="3CC31CBF" w14:textId="77777777" w:rsidR="0094480D" w:rsidRDefault="002B1EA5">
      <w:pPr>
        <w:pStyle w:val="2"/>
        <w:rPr>
          <w:sz w:val="24"/>
          <w:szCs w:val="32"/>
        </w:rPr>
      </w:pPr>
      <w:r>
        <w:rPr>
          <w:rFonts w:hint="eastAsia"/>
        </w:rPr>
        <w:t>2.</w:t>
      </w:r>
      <w:r>
        <w:rPr>
          <w:rFonts w:hint="eastAsia"/>
          <w:sz w:val="24"/>
          <w:szCs w:val="32"/>
        </w:rPr>
        <w:t>3</w:t>
      </w:r>
      <w:r>
        <w:rPr>
          <w:rFonts w:hint="eastAsia"/>
          <w:sz w:val="24"/>
          <w:szCs w:val="32"/>
        </w:rPr>
        <w:t>构建评价模型</w:t>
      </w:r>
    </w:p>
    <w:p w14:paraId="2432AF45" w14:textId="77777777" w:rsidR="0094480D" w:rsidRDefault="002B1EA5">
      <w:pPr>
        <w:ind w:firstLine="480"/>
        <w:rPr>
          <w:sz w:val="24"/>
          <w:szCs w:val="22"/>
        </w:rPr>
      </w:pPr>
      <w:r>
        <w:rPr>
          <w:rFonts w:hint="eastAsia"/>
          <w:sz w:val="24"/>
          <w:szCs w:val="22"/>
        </w:rPr>
        <w:t>根据</w:t>
      </w:r>
      <w:r>
        <w:rPr>
          <w:rFonts w:hint="eastAsia"/>
          <w:sz w:val="24"/>
          <w:szCs w:val="22"/>
        </w:rPr>
        <w:t>2.2</w:t>
      </w:r>
      <w:r>
        <w:rPr>
          <w:rFonts w:hint="eastAsia"/>
          <w:sz w:val="24"/>
          <w:szCs w:val="22"/>
        </w:rPr>
        <w:t>构建的绿色混凝土搅拌站综合评价指标，共有三个一级指标，</w:t>
      </w:r>
      <w:r>
        <w:rPr>
          <w:rFonts w:hint="eastAsia"/>
          <w:sz w:val="24"/>
          <w:szCs w:val="22"/>
        </w:rPr>
        <w:t>15</w:t>
      </w:r>
      <w:r>
        <w:rPr>
          <w:rFonts w:hint="eastAsia"/>
          <w:sz w:val="24"/>
          <w:szCs w:val="22"/>
        </w:rPr>
        <w:t>个二级指标，基于灰色系统理论的绿色混凝土搅拌站综合评价模型如下：</w:t>
      </w:r>
    </w:p>
    <w:p w14:paraId="477AB96A" w14:textId="77777777" w:rsidR="0094480D" w:rsidRDefault="002B1EA5">
      <w:pPr>
        <w:ind w:firstLine="480"/>
        <w:rPr>
          <w:sz w:val="24"/>
          <w:szCs w:val="22"/>
        </w:rPr>
      </w:pPr>
      <w:r>
        <w:rPr>
          <w:rFonts w:hint="eastAsia"/>
          <w:sz w:val="24"/>
          <w:szCs w:val="22"/>
        </w:rPr>
        <w:t>第一步：确定二级指标的评分等级，将评分等级分为五层，分别为很好，较好，一般，合格，不合格，分别对应</w:t>
      </w:r>
      <w:r>
        <w:rPr>
          <w:rFonts w:hint="eastAsia"/>
          <w:sz w:val="24"/>
          <w:szCs w:val="22"/>
        </w:rPr>
        <w:t>10</w:t>
      </w:r>
      <w:r>
        <w:rPr>
          <w:rFonts w:hint="eastAsia"/>
          <w:sz w:val="24"/>
          <w:szCs w:val="22"/>
        </w:rPr>
        <w:t>分、</w:t>
      </w:r>
      <w:r>
        <w:rPr>
          <w:rFonts w:hint="eastAsia"/>
          <w:sz w:val="24"/>
          <w:szCs w:val="22"/>
        </w:rPr>
        <w:t>8</w:t>
      </w:r>
      <w:r>
        <w:rPr>
          <w:rFonts w:hint="eastAsia"/>
          <w:sz w:val="24"/>
          <w:szCs w:val="22"/>
        </w:rPr>
        <w:t>分、</w:t>
      </w:r>
      <w:r>
        <w:rPr>
          <w:rFonts w:hint="eastAsia"/>
          <w:sz w:val="24"/>
          <w:szCs w:val="22"/>
        </w:rPr>
        <w:t>6</w:t>
      </w:r>
      <w:r>
        <w:rPr>
          <w:rFonts w:hint="eastAsia"/>
          <w:sz w:val="24"/>
          <w:szCs w:val="22"/>
        </w:rPr>
        <w:t>分、</w:t>
      </w:r>
      <w:r>
        <w:rPr>
          <w:rFonts w:hint="eastAsia"/>
          <w:sz w:val="24"/>
          <w:szCs w:val="22"/>
        </w:rPr>
        <w:t>4</w:t>
      </w:r>
      <w:r>
        <w:rPr>
          <w:rFonts w:hint="eastAsia"/>
          <w:sz w:val="24"/>
          <w:szCs w:val="22"/>
        </w:rPr>
        <w:t>分、</w:t>
      </w:r>
      <w:r>
        <w:rPr>
          <w:rFonts w:hint="eastAsia"/>
          <w:sz w:val="24"/>
          <w:szCs w:val="22"/>
        </w:rPr>
        <w:t>2</w:t>
      </w:r>
      <w:r>
        <w:rPr>
          <w:rFonts w:hint="eastAsia"/>
          <w:sz w:val="24"/>
          <w:szCs w:val="22"/>
        </w:rPr>
        <w:t>分。如若指标介于两个等级之间，则取中间数，即</w:t>
      </w:r>
      <w:r>
        <w:rPr>
          <w:rFonts w:hint="eastAsia"/>
          <w:sz w:val="24"/>
          <w:szCs w:val="22"/>
        </w:rPr>
        <w:t>9</w:t>
      </w:r>
      <w:r>
        <w:rPr>
          <w:rFonts w:hint="eastAsia"/>
          <w:sz w:val="24"/>
          <w:szCs w:val="22"/>
        </w:rPr>
        <w:t>分、</w:t>
      </w:r>
      <w:r>
        <w:rPr>
          <w:rFonts w:hint="eastAsia"/>
          <w:sz w:val="24"/>
          <w:szCs w:val="22"/>
        </w:rPr>
        <w:t>7</w:t>
      </w:r>
      <w:r>
        <w:rPr>
          <w:rFonts w:hint="eastAsia"/>
          <w:sz w:val="24"/>
          <w:szCs w:val="22"/>
        </w:rPr>
        <w:t>分、</w:t>
      </w:r>
      <w:r>
        <w:rPr>
          <w:rFonts w:hint="eastAsia"/>
          <w:sz w:val="24"/>
          <w:szCs w:val="22"/>
        </w:rPr>
        <w:t>5</w:t>
      </w:r>
      <w:r>
        <w:rPr>
          <w:rFonts w:hint="eastAsia"/>
          <w:sz w:val="24"/>
          <w:szCs w:val="22"/>
        </w:rPr>
        <w:t>分、</w:t>
      </w:r>
      <w:r>
        <w:rPr>
          <w:rFonts w:hint="eastAsia"/>
          <w:sz w:val="24"/>
          <w:szCs w:val="22"/>
        </w:rPr>
        <w:t>3</w:t>
      </w:r>
      <w:r>
        <w:rPr>
          <w:rFonts w:hint="eastAsia"/>
          <w:sz w:val="24"/>
          <w:szCs w:val="22"/>
        </w:rPr>
        <w:t>分。</w:t>
      </w:r>
    </w:p>
    <w:p w14:paraId="4A27FF0F" w14:textId="77777777" w:rsidR="0094480D" w:rsidRDefault="002B1EA5">
      <w:pPr>
        <w:ind w:firstLine="480"/>
        <w:rPr>
          <w:sz w:val="24"/>
          <w:szCs w:val="22"/>
        </w:rPr>
      </w:pPr>
      <w:r>
        <w:rPr>
          <w:rFonts w:hint="eastAsia"/>
          <w:sz w:val="24"/>
          <w:szCs w:val="22"/>
        </w:rPr>
        <w:t>第二步：利用灰色关联分析法计算权重：</w:t>
      </w:r>
    </w:p>
    <w:p w14:paraId="7B70BD55" w14:textId="77777777" w:rsidR="0094480D" w:rsidRDefault="002B1EA5">
      <w:pPr>
        <w:ind w:firstLine="480"/>
        <w:rPr>
          <w:sz w:val="24"/>
          <w:szCs w:val="22"/>
        </w:rPr>
      </w:pPr>
      <w:r>
        <w:rPr>
          <w:rFonts w:hint="eastAsia"/>
          <w:sz w:val="24"/>
          <w:szCs w:val="22"/>
        </w:rPr>
        <w:t>首先需要对原始数据进行标准化处理，标准化的公式为：</w:t>
      </w:r>
    </w:p>
    <w:tbl>
      <w:tblPr>
        <w:tblStyle w:val="a6"/>
        <w:tblW w:w="0" w:type="auto"/>
        <w:tblLook w:val="04A0" w:firstRow="1" w:lastRow="0" w:firstColumn="1" w:lastColumn="0" w:noHBand="0" w:noVBand="1"/>
      </w:tblPr>
      <w:tblGrid>
        <w:gridCol w:w="6108"/>
        <w:gridCol w:w="2414"/>
      </w:tblGrid>
      <w:tr w:rsidR="0094480D" w14:paraId="29A51BE3" w14:textId="77777777">
        <w:tc>
          <w:tcPr>
            <w:tcW w:w="6108" w:type="dxa"/>
            <w:tcBorders>
              <w:top w:val="nil"/>
              <w:left w:val="nil"/>
              <w:bottom w:val="nil"/>
              <w:right w:val="nil"/>
            </w:tcBorders>
          </w:tcPr>
          <w:p w14:paraId="2F1C72BF" w14:textId="77777777" w:rsidR="0094480D" w:rsidRDefault="002B1EA5">
            <w:pPr>
              <w:ind w:firstLineChars="0" w:firstLine="0"/>
              <w:rPr>
                <w:rFonts w:ascii="Cambria Math" w:hAnsi="Cambria Math"/>
              </w:rPr>
            </w:pPr>
            <m:oMathPara>
              <m:oMathParaPr>
                <m:jc m:val="right"/>
              </m:oMathParaPr>
              <m:oMath>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r>
                          <w:rPr>
                            <w:rFonts w:ascii="Cambria Math" w:hAnsi="Cambria Math"/>
                          </w:rPr>
                          <m:t>)</m:t>
                        </m:r>
                      </m:sub>
                    </m:sSub>
                  </m:num>
                  <m:den>
                    <m: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r>
                      <w:rPr>
                        <w:rFonts w:ascii="Cambria Math" w:hAnsi="Cambria Math"/>
                      </w:rPr>
                      <m:t>m</m:t>
                    </m:r>
                    <m:r>
                      <w:rPr>
                        <w:rFonts w:ascii="Cambria Math" w:hAnsi="Cambria Math"/>
                      </w:rPr>
                      <m:t>in</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r>
                          <w:rPr>
                            <w:rFonts w:ascii="Cambria Math" w:hAnsi="Cambria Math"/>
                          </w:rPr>
                          <m:t>)</m:t>
                        </m:r>
                      </m:sub>
                    </m:sSub>
                  </m:den>
                </m:f>
              </m:oMath>
            </m:oMathPara>
          </w:p>
        </w:tc>
        <w:tc>
          <w:tcPr>
            <w:tcW w:w="2414" w:type="dxa"/>
            <w:tcBorders>
              <w:top w:val="nil"/>
              <w:left w:val="nil"/>
              <w:bottom w:val="nil"/>
              <w:right w:val="nil"/>
            </w:tcBorders>
            <w:vAlign w:val="center"/>
          </w:tcPr>
          <w:p w14:paraId="716ACF71" w14:textId="77777777" w:rsidR="0094480D" w:rsidRDefault="002B1EA5">
            <w:pPr>
              <w:ind w:firstLineChars="0" w:firstLine="0"/>
              <w:jc w:val="right"/>
              <w:rPr>
                <w:rFonts w:ascii="Cambria Math" w:hAnsi="Cambria Math"/>
              </w:rPr>
            </w:pPr>
            <w:r>
              <w:rPr>
                <w:rFonts w:ascii="Cambria Math" w:hAnsi="Cambria Math" w:hint="eastAsia"/>
              </w:rPr>
              <w:t>（</w:t>
            </w:r>
            <w:r>
              <w:rPr>
                <w:rFonts w:ascii="Cambria Math" w:hAnsi="Cambria Math" w:hint="eastAsia"/>
              </w:rPr>
              <w:t>1</w:t>
            </w:r>
            <w:r>
              <w:rPr>
                <w:rFonts w:ascii="Cambria Math" w:hAnsi="Cambria Math" w:hint="eastAsia"/>
              </w:rPr>
              <w:t>）</w:t>
            </w:r>
          </w:p>
        </w:tc>
      </w:tr>
    </w:tbl>
    <w:p w14:paraId="3E2B946E" w14:textId="77777777" w:rsidR="0094480D" w:rsidRDefault="002B1EA5">
      <w:pPr>
        <w:ind w:firstLine="480"/>
        <w:rPr>
          <w:sz w:val="24"/>
          <w:szCs w:val="22"/>
        </w:rPr>
      </w:pPr>
      <w:r>
        <w:rPr>
          <w:rFonts w:hint="eastAsia"/>
          <w:sz w:val="24"/>
          <w:szCs w:val="22"/>
        </w:rPr>
        <w:t>式（</w:t>
      </w:r>
      <w:r>
        <w:rPr>
          <w:rFonts w:hint="eastAsia"/>
          <w:sz w:val="24"/>
          <w:szCs w:val="22"/>
        </w:rPr>
        <w:t>1</w:t>
      </w:r>
      <w:r>
        <w:rPr>
          <w:rFonts w:hint="eastAsia"/>
          <w:sz w:val="24"/>
          <w:szCs w:val="22"/>
        </w:rPr>
        <w:t>）中，</w:t>
      </w:r>
      <m:oMath>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m:t>
            </m:r>
          </m:sub>
        </m:sSub>
      </m:oMath>
      <w:r>
        <w:rPr>
          <w:rFonts w:hint="eastAsia"/>
          <w:sz w:val="24"/>
          <w:szCs w:val="22"/>
        </w:rPr>
        <w:t>是原始数据，</w:t>
      </w:r>
      <m:oMath>
        <m:sSubSup>
          <m:sSubSupPr>
            <m:ctrlPr>
              <w:rPr>
                <w:rFonts w:ascii="Cambria Math" w:hAnsi="Cambria Math"/>
                <w:i/>
                <w:sz w:val="24"/>
                <w:szCs w:val="22"/>
              </w:rPr>
            </m:ctrlPr>
          </m:sSubSupPr>
          <m:e>
            <m:r>
              <w:rPr>
                <w:rFonts w:ascii="Cambria Math" w:hAnsi="Cambria Math"/>
                <w:sz w:val="24"/>
                <w:szCs w:val="22"/>
              </w:rPr>
              <m:t>x</m:t>
            </m:r>
          </m:e>
          <m:sub>
            <m:r>
              <w:rPr>
                <w:rFonts w:ascii="Cambria Math" w:hAnsi="Cambria Math"/>
                <w:sz w:val="24"/>
                <w:szCs w:val="22"/>
              </w:rPr>
              <m:t>ij</m:t>
            </m:r>
          </m:sub>
          <m:sup>
            <m:r>
              <w:rPr>
                <w:rFonts w:ascii="Cambria Math" w:hAnsi="Cambria Math"/>
                <w:sz w:val="24"/>
                <w:szCs w:val="22"/>
              </w:rPr>
              <m:t>*</m:t>
            </m:r>
          </m:sup>
        </m:sSubSup>
      </m:oMath>
      <w:r>
        <w:rPr>
          <w:rFonts w:hint="eastAsia"/>
          <w:sz w:val="24"/>
          <w:szCs w:val="22"/>
        </w:rPr>
        <w:t>是标准化后的数据，</w:t>
      </w:r>
      <m:oMath>
        <m:r>
          <w:rPr>
            <w:rFonts w:ascii="Cambria Math" w:hAnsi="Cambria Math"/>
            <w:sz w:val="24"/>
            <w:szCs w:val="22"/>
          </w:rPr>
          <m:t>max</m:t>
        </m:r>
        <m:r>
          <w:rPr>
            <w:rFonts w:ascii="Cambria Math" w:hAnsi="Cambria Math"/>
            <w:sz w:val="24"/>
            <w:szCs w:val="22"/>
          </w:rPr>
          <m:t>（</m:t>
        </m:r>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m:t>
            </m:r>
          </m:sub>
        </m:sSub>
        <m:r>
          <w:rPr>
            <w:rFonts w:hAnsi="Cambria Math" w:hint="eastAsia"/>
            <w:sz w:val="24"/>
            <w:szCs w:val="22"/>
          </w:rPr>
          <m:t>）</m:t>
        </m:r>
      </m:oMath>
      <w:r>
        <w:rPr>
          <w:rFonts w:hAnsi="Cambria Math" w:hint="eastAsia"/>
          <w:sz w:val="24"/>
          <w:szCs w:val="22"/>
        </w:rPr>
        <w:t>和</w:t>
      </w:r>
      <m:oMath>
        <m:r>
          <w:rPr>
            <w:rFonts w:ascii="Cambria Math" w:hAnsi="Cambria Math"/>
            <w:sz w:val="24"/>
            <w:szCs w:val="22"/>
          </w:rPr>
          <m:t>min</m:t>
        </m:r>
        <m:r>
          <w:rPr>
            <w:rFonts w:ascii="Cambria Math" w:hAnsi="Cambria Math"/>
            <w:sz w:val="24"/>
            <w:szCs w:val="22"/>
          </w:rPr>
          <m:t>（</m:t>
        </m:r>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m:t>
            </m:r>
          </m:sub>
        </m:sSub>
        <m:r>
          <w:rPr>
            <w:rFonts w:hAnsi="Cambria Math" w:hint="eastAsia"/>
            <w:sz w:val="24"/>
            <w:szCs w:val="22"/>
          </w:rPr>
          <m:t>）</m:t>
        </m:r>
      </m:oMath>
      <w:r>
        <w:rPr>
          <w:rFonts w:hint="eastAsia"/>
          <w:sz w:val="24"/>
          <w:szCs w:val="22"/>
        </w:rPr>
        <w:t>分别是指标</w:t>
      </w:r>
      <w:r>
        <w:rPr>
          <w:rFonts w:hint="eastAsia"/>
          <w:i/>
          <w:iCs/>
          <w:sz w:val="24"/>
          <w:szCs w:val="22"/>
        </w:rPr>
        <w:t>j</w:t>
      </w:r>
      <w:r>
        <w:rPr>
          <w:rFonts w:hint="eastAsia"/>
          <w:sz w:val="24"/>
          <w:szCs w:val="22"/>
        </w:rPr>
        <w:t>的最大值和最小值。</w:t>
      </w:r>
    </w:p>
    <w:p w14:paraId="28EA05F2" w14:textId="77777777" w:rsidR="0094480D" w:rsidRDefault="002B1EA5">
      <w:pPr>
        <w:ind w:firstLine="480"/>
        <w:rPr>
          <w:sz w:val="24"/>
          <w:szCs w:val="22"/>
        </w:rPr>
      </w:pPr>
      <w:r>
        <w:rPr>
          <w:rFonts w:hint="eastAsia"/>
          <w:sz w:val="24"/>
          <w:szCs w:val="22"/>
        </w:rPr>
        <w:t>其次，计算各指标与评价对象的关联度。关联度越高，说明该指标与评价对象的匹配程度越高，其重要性越大。计算公式为：</w:t>
      </w:r>
    </w:p>
    <w:tbl>
      <w:tblPr>
        <w:tblStyle w:val="a6"/>
        <w:tblW w:w="0" w:type="auto"/>
        <w:tblLayout w:type="fixed"/>
        <w:tblLook w:val="04A0" w:firstRow="1" w:lastRow="0" w:firstColumn="1" w:lastColumn="0" w:noHBand="0" w:noVBand="1"/>
      </w:tblPr>
      <w:tblGrid>
        <w:gridCol w:w="7157"/>
        <w:gridCol w:w="1365"/>
      </w:tblGrid>
      <w:tr w:rsidR="0094480D" w14:paraId="7CDFDEDE" w14:textId="77777777">
        <w:tc>
          <w:tcPr>
            <w:tcW w:w="7157" w:type="dxa"/>
            <w:tcBorders>
              <w:top w:val="nil"/>
              <w:left w:val="nil"/>
              <w:bottom w:val="nil"/>
              <w:right w:val="nil"/>
            </w:tcBorders>
          </w:tcPr>
          <w:p w14:paraId="34F2E16B" w14:textId="77777777" w:rsidR="0094480D" w:rsidRDefault="002B1EA5">
            <w:pPr>
              <w:ind w:firstLineChars="0" w:firstLine="0"/>
              <w:rPr>
                <w:rFonts w:hAnsi="Cambria Math"/>
              </w:rPr>
            </w:pPr>
            <m:oMathPara>
              <m:oMath>
                <m:r>
                  <m:rPr>
                    <m:sty m:val="p"/>
                  </m:rPr>
                  <w:rPr>
                    <w:rFonts w:ascii="Cambria Math" w:hAnsi="Cambria Math"/>
                  </w:rPr>
                  <m:t>ξ</m:t>
                </m:r>
                <m:r>
                  <m:rPr>
                    <m:sty m:val="p"/>
                  </m:rPr>
                  <w:rPr>
                    <w:rFonts w:ascii="Cambria Math" w:hAnsi="Cambria Math" w:hint="eastAsia"/>
                  </w:rPr>
                  <m:t>（</m:t>
                </m:r>
                <m:sSubSup>
                  <m:sSubSupPr>
                    <m:ctrlPr>
                      <w:rPr>
                        <w:rFonts w:ascii="Cambria Math" w:hAnsi="Cambria Math" w:hint="eastAsia"/>
                      </w:rPr>
                    </m:ctrlPr>
                  </m:sSubSupPr>
                  <m:e>
                    <m:r>
                      <m:rPr>
                        <m:sty m:val="p"/>
                      </m:rPr>
                      <w:rPr>
                        <w:rFonts w:ascii="Cambria Math" w:hAnsi="Cambria Math"/>
                      </w:rPr>
                      <m:t>x</m:t>
                    </m:r>
                  </m:e>
                  <m:sub>
                    <m:r>
                      <w:rPr>
                        <w:rFonts w:ascii="Cambria Math" w:hAnsi="Cambria Math"/>
                      </w:rPr>
                      <m:t>0</m:t>
                    </m:r>
                    <m:r>
                      <w:rPr>
                        <w:rFonts w:ascii="Cambria Math" w:hAnsi="Cambria Math"/>
                      </w:rPr>
                      <m:t>j</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r>
                  <m:rPr>
                    <m:sty m:val="p"/>
                  </m:rPr>
                  <w:rPr>
                    <w:rFonts w:ascii="Cambria Math" w:hAnsi="Cambria Math" w:hint="eastAsia"/>
                  </w:rPr>
                  <m:t>）</m:t>
                </m:r>
                <m:r>
                  <m:rPr>
                    <m:sty m:val="p"/>
                  </m:rPr>
                  <w:rPr>
                    <w:rFonts w:ascii="Cambria Math" w:hAnsi="Cambria Math"/>
                  </w:rPr>
                  <m:t>=</m:t>
                </m:r>
                <m:f>
                  <m:fPr>
                    <m:ctrlPr>
                      <w:rPr>
                        <w:rFonts w:ascii="Cambria Math" w:hAnsi="Cambria Math"/>
                      </w:rPr>
                    </m:ctrlPr>
                  </m:fPr>
                  <m:num>
                    <m:r>
                      <m:rPr>
                        <m:sty m:val="p"/>
                      </m:rPr>
                      <w:rPr>
                        <w:rFonts w:ascii="Cambria Math" w:hAnsi="Cambria Math"/>
                      </w:rPr>
                      <m:t>min min</m:t>
                    </m:r>
                    <m:d>
                      <m:dPr>
                        <m:begChr m:val="|"/>
                        <m:endChr m:val="|"/>
                        <m:ctrlPr>
                          <w:rPr>
                            <w:rFonts w:ascii="Cambria Math" w:hAnsi="Cambria Math"/>
                          </w:rPr>
                        </m:ctrlPr>
                      </m:dPr>
                      <m:e>
                        <m:sSubSup>
                          <m:sSubSupPr>
                            <m:ctrlPr>
                              <w:rPr>
                                <w:rFonts w:ascii="Cambria Math" w:hAnsi="Cambria Math" w:hint="eastAsia"/>
                              </w:rPr>
                            </m:ctrlPr>
                          </m:sSubSupPr>
                          <m:e>
                            <m:r>
                              <m:rPr>
                                <m:sty m:val="p"/>
                              </m:rPr>
                              <w:rPr>
                                <w:rFonts w:ascii="Cambria Math" w:hAnsi="Cambria Math"/>
                              </w:rPr>
                              <m:t>x</m:t>
                            </m:r>
                          </m:e>
                          <m:sub>
                            <m:r>
                              <w:rPr>
                                <w:rFonts w:ascii="Cambria Math" w:hAnsi="Cambria Math"/>
                              </w:rPr>
                              <m:t>0</m:t>
                            </m:r>
                            <m:r>
                              <w:rPr>
                                <w:rFonts w:ascii="Cambria Math" w:hAnsi="Cambria Math"/>
                              </w:rPr>
                              <m:t>j</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e>
                    </m:d>
                    <m:r>
                      <m:rPr>
                        <m:sty m:val="p"/>
                      </m:rPr>
                      <w:rPr>
                        <w:rFonts w:ascii="Cambria Math" w:hAnsi="Cambria Math"/>
                      </w:rPr>
                      <m:t>+</m:t>
                    </m:r>
                    <m:r>
                      <m:rPr>
                        <m:sty m:val="p"/>
                      </m:rPr>
                      <w:rPr>
                        <w:rFonts w:ascii="Cambria Math" w:hAnsi="Cambria Math"/>
                      </w:rPr>
                      <m:t>ρ</m:t>
                    </m:r>
                    <m:r>
                      <m:rPr>
                        <m:sty m:val="p"/>
                      </m:rPr>
                      <w:rPr>
                        <w:rFonts w:ascii="Cambria Math" w:hAnsi="Cambria Math"/>
                      </w:rPr>
                      <m:t>max max</m:t>
                    </m:r>
                    <m:d>
                      <m:dPr>
                        <m:begChr m:val="|"/>
                        <m:endChr m:val="|"/>
                        <m:ctrlPr>
                          <w:rPr>
                            <w:rFonts w:ascii="Cambria Math" w:hAnsi="Cambria Math"/>
                          </w:rPr>
                        </m:ctrlPr>
                      </m:dPr>
                      <m:e>
                        <m:sSubSup>
                          <m:sSubSupPr>
                            <m:ctrlPr>
                              <w:rPr>
                                <w:rFonts w:ascii="Cambria Math" w:hAnsi="Cambria Math" w:hint="eastAsia"/>
                              </w:rPr>
                            </m:ctrlPr>
                          </m:sSubSupPr>
                          <m:e>
                            <m:r>
                              <m:rPr>
                                <m:sty m:val="p"/>
                              </m:rPr>
                              <w:rPr>
                                <w:rFonts w:ascii="Cambria Math" w:hAnsi="Cambria Math"/>
                              </w:rPr>
                              <m:t>x</m:t>
                            </m:r>
                          </m:e>
                          <m:sub>
                            <m:r>
                              <w:rPr>
                                <w:rFonts w:ascii="Cambria Math" w:hAnsi="Cambria Math"/>
                              </w:rPr>
                              <m:t>0</m:t>
                            </m:r>
                            <m:r>
                              <w:rPr>
                                <w:rFonts w:ascii="Cambria Math" w:hAnsi="Cambria Math"/>
                              </w:rPr>
                              <m:t>j</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e>
                    </m:d>
                  </m:num>
                  <m:den>
                    <m:d>
                      <m:dPr>
                        <m:begChr m:val="|"/>
                        <m:endChr m:val="|"/>
                        <m:ctrlPr>
                          <w:rPr>
                            <w:rFonts w:ascii="Cambria Math" w:hAnsi="Cambria Math"/>
                          </w:rPr>
                        </m:ctrlPr>
                      </m:dPr>
                      <m:e>
                        <m:sSubSup>
                          <m:sSubSupPr>
                            <m:ctrlPr>
                              <w:rPr>
                                <w:rFonts w:ascii="Cambria Math" w:hAnsi="Cambria Math" w:hint="eastAsia"/>
                              </w:rPr>
                            </m:ctrlPr>
                          </m:sSubSupPr>
                          <m:e>
                            <m:r>
                              <m:rPr>
                                <m:sty m:val="p"/>
                              </m:rPr>
                              <w:rPr>
                                <w:rFonts w:ascii="Cambria Math" w:hAnsi="Cambria Math"/>
                              </w:rPr>
                              <m:t>x</m:t>
                            </m:r>
                          </m:e>
                          <m:sub>
                            <m:r>
                              <w:rPr>
                                <w:rFonts w:ascii="Cambria Math" w:hAnsi="Cambria Math"/>
                              </w:rPr>
                              <m:t>0</m:t>
                            </m:r>
                            <m:r>
                              <w:rPr>
                                <w:rFonts w:ascii="Cambria Math" w:hAnsi="Cambria Math"/>
                              </w:rPr>
                              <m:t>j</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e>
                    </m:d>
                    <m:r>
                      <m:rPr>
                        <m:sty m:val="p"/>
                      </m:rPr>
                      <w:rPr>
                        <w:rFonts w:ascii="Cambria Math" w:hAnsi="Cambria Math"/>
                      </w:rPr>
                      <m:t>+</m:t>
                    </m:r>
                    <m:r>
                      <m:rPr>
                        <m:sty m:val="p"/>
                      </m:rPr>
                      <w:rPr>
                        <w:rFonts w:ascii="Cambria Math" w:hAnsi="Cambria Math"/>
                      </w:rPr>
                      <m:t>ρ</m:t>
                    </m:r>
                    <m:r>
                      <m:rPr>
                        <m:sty m:val="p"/>
                      </m:rPr>
                      <w:rPr>
                        <w:rFonts w:ascii="Cambria Math" w:hAnsi="Cambria Math"/>
                      </w:rPr>
                      <m:t>max max</m:t>
                    </m:r>
                    <m:d>
                      <m:dPr>
                        <m:begChr m:val="|"/>
                        <m:endChr m:val="|"/>
                        <m:ctrlPr>
                          <w:rPr>
                            <w:rFonts w:ascii="Cambria Math" w:hAnsi="Cambria Math"/>
                          </w:rPr>
                        </m:ctrlPr>
                      </m:dPr>
                      <m:e>
                        <m:sSubSup>
                          <m:sSubSupPr>
                            <m:ctrlPr>
                              <w:rPr>
                                <w:rFonts w:ascii="Cambria Math" w:hAnsi="Cambria Math" w:hint="eastAsia"/>
                              </w:rPr>
                            </m:ctrlPr>
                          </m:sSubSupPr>
                          <m:e>
                            <m:r>
                              <m:rPr>
                                <m:sty m:val="p"/>
                              </m:rPr>
                              <w:rPr>
                                <w:rFonts w:ascii="Cambria Math" w:hAnsi="Cambria Math"/>
                              </w:rPr>
                              <m:t>x</m:t>
                            </m:r>
                          </m:e>
                          <m:sub>
                            <m:r>
                              <w:rPr>
                                <w:rFonts w:ascii="Cambria Math" w:hAnsi="Cambria Math"/>
                              </w:rPr>
                              <m:t>0</m:t>
                            </m:r>
                            <m:r>
                              <w:rPr>
                                <w:rFonts w:ascii="Cambria Math" w:hAnsi="Cambria Math"/>
                              </w:rPr>
                              <m:t>j</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e>
                    </m:d>
                  </m:den>
                </m:f>
              </m:oMath>
            </m:oMathPara>
          </w:p>
        </w:tc>
        <w:tc>
          <w:tcPr>
            <w:tcW w:w="1365" w:type="dxa"/>
            <w:tcBorders>
              <w:top w:val="nil"/>
              <w:left w:val="nil"/>
              <w:bottom w:val="nil"/>
              <w:right w:val="nil"/>
            </w:tcBorders>
            <w:vAlign w:val="center"/>
          </w:tcPr>
          <w:p w14:paraId="64BE8ACE" w14:textId="77777777" w:rsidR="0094480D" w:rsidRDefault="002B1EA5">
            <w:pPr>
              <w:ind w:firstLineChars="0" w:firstLine="0"/>
              <w:jc w:val="right"/>
              <w:rPr>
                <w:rFonts w:hAnsi="Cambria Math"/>
              </w:rPr>
            </w:pPr>
            <w:r>
              <w:rPr>
                <w:rFonts w:hAnsi="Cambria Math" w:hint="eastAsia"/>
              </w:rPr>
              <w:t>（</w:t>
            </w:r>
            <w:r>
              <w:rPr>
                <w:rFonts w:hAnsi="Cambria Math" w:hint="eastAsia"/>
              </w:rPr>
              <w:t>2</w:t>
            </w:r>
            <w:r>
              <w:rPr>
                <w:rFonts w:hAnsi="Cambria Math" w:hint="eastAsia"/>
              </w:rPr>
              <w:t>）</w:t>
            </w:r>
          </w:p>
        </w:tc>
      </w:tr>
    </w:tbl>
    <w:p w14:paraId="3375E947" w14:textId="77777777" w:rsidR="0094480D" w:rsidRDefault="0094480D">
      <w:pPr>
        <w:ind w:firstLine="480"/>
        <w:rPr>
          <w:rFonts w:hAnsi="Cambria Math"/>
          <w:sz w:val="24"/>
          <w:szCs w:val="22"/>
        </w:rPr>
      </w:pPr>
    </w:p>
    <w:p w14:paraId="4D8321BB" w14:textId="77777777" w:rsidR="0094480D" w:rsidRDefault="002B1EA5">
      <w:pPr>
        <w:ind w:firstLine="480"/>
        <w:rPr>
          <w:sz w:val="24"/>
          <w:szCs w:val="22"/>
        </w:rPr>
      </w:pPr>
      <w:r>
        <w:rPr>
          <w:rFonts w:hint="eastAsia"/>
          <w:sz w:val="24"/>
          <w:szCs w:val="22"/>
        </w:rPr>
        <w:t>式（</w:t>
      </w:r>
      <w:r>
        <w:rPr>
          <w:rFonts w:hint="eastAsia"/>
          <w:sz w:val="24"/>
          <w:szCs w:val="22"/>
        </w:rPr>
        <w:t>2</w:t>
      </w:r>
      <w:r>
        <w:rPr>
          <w:rFonts w:hint="eastAsia"/>
          <w:sz w:val="24"/>
          <w:szCs w:val="22"/>
        </w:rPr>
        <w:t>）中，</w:t>
      </w:r>
      <m:oMath>
        <m:sSubSup>
          <m:sSubSupPr>
            <m:ctrlPr>
              <w:rPr>
                <w:rFonts w:ascii="Cambria Math" w:hAnsi="Cambria Math" w:hint="eastAsia"/>
                <w:sz w:val="24"/>
                <w:szCs w:val="22"/>
              </w:rPr>
            </m:ctrlPr>
          </m:sSubSupPr>
          <m:e>
            <m:r>
              <m:rPr>
                <m:sty m:val="p"/>
              </m:rPr>
              <w:rPr>
                <w:rFonts w:ascii="Cambria Math" w:hAnsi="Cambria Math"/>
                <w:sz w:val="24"/>
                <w:szCs w:val="22"/>
              </w:rPr>
              <m:t>x</m:t>
            </m:r>
          </m:e>
          <m:sub>
            <m:r>
              <w:rPr>
                <w:rFonts w:ascii="Cambria Math" w:hAnsi="Cambria Math"/>
                <w:sz w:val="24"/>
                <w:szCs w:val="22"/>
              </w:rPr>
              <m:t>0</m:t>
            </m:r>
            <m:r>
              <w:rPr>
                <w:rFonts w:ascii="Cambria Math" w:hAnsi="Cambria Math"/>
                <w:sz w:val="24"/>
                <w:szCs w:val="22"/>
              </w:rPr>
              <m:t>j</m:t>
            </m:r>
          </m:sub>
          <m:sup>
            <m:r>
              <m:rPr>
                <m:sty m:val="p"/>
              </m:rPr>
              <w:rPr>
                <w:rFonts w:ascii="Cambria Math" w:hAnsi="Cambria Math"/>
                <w:sz w:val="24"/>
                <w:szCs w:val="22"/>
              </w:rPr>
              <m:t>*</m:t>
            </m:r>
          </m:sup>
        </m:sSubSup>
      </m:oMath>
      <w:r>
        <w:rPr>
          <w:rFonts w:hint="eastAsia"/>
          <w:sz w:val="24"/>
          <w:szCs w:val="22"/>
        </w:rPr>
        <w:t>是理想状态下的标准化值，</w:t>
      </w:r>
      <m:oMath>
        <m:r>
          <m:rPr>
            <m:sty m:val="p"/>
          </m:rPr>
          <w:rPr>
            <w:rFonts w:ascii="Cambria Math" w:hAnsi="Cambria Math"/>
            <w:sz w:val="24"/>
            <w:szCs w:val="22"/>
          </w:rPr>
          <m:t>ρ</m:t>
        </m:r>
      </m:oMath>
      <w:r>
        <w:rPr>
          <w:rFonts w:hint="eastAsia"/>
          <w:sz w:val="24"/>
          <w:szCs w:val="22"/>
        </w:rPr>
        <w:t>是分辨系数（通常取</w:t>
      </w:r>
      <w:r>
        <w:rPr>
          <w:rFonts w:hint="eastAsia"/>
          <w:sz w:val="24"/>
          <w:szCs w:val="22"/>
        </w:rPr>
        <w:t>0.5</w:t>
      </w:r>
      <w:r>
        <w:rPr>
          <w:rFonts w:hint="eastAsia"/>
          <w:sz w:val="24"/>
          <w:szCs w:val="22"/>
        </w:rPr>
        <w:t>）。</w:t>
      </w:r>
    </w:p>
    <w:p w14:paraId="3AB1F413" w14:textId="77777777" w:rsidR="0094480D" w:rsidRDefault="002B1EA5">
      <w:pPr>
        <w:ind w:firstLine="480"/>
        <w:rPr>
          <w:rFonts w:hAnsi="Cambria Math"/>
          <w:sz w:val="24"/>
          <w:szCs w:val="22"/>
        </w:rPr>
      </w:pPr>
      <w:r>
        <w:rPr>
          <w:rFonts w:hint="eastAsia"/>
          <w:sz w:val="24"/>
          <w:szCs w:val="22"/>
        </w:rPr>
        <w:t>最后，根据计算出的关联度确定各指标的权重。计算公式为：</w:t>
      </w:r>
    </w:p>
    <w:tbl>
      <w:tblPr>
        <w:tblStyle w:val="a6"/>
        <w:tblW w:w="0" w:type="auto"/>
        <w:tblLayout w:type="fixed"/>
        <w:tblLook w:val="04A0" w:firstRow="1" w:lastRow="0" w:firstColumn="1" w:lastColumn="0" w:noHBand="0" w:noVBand="1"/>
      </w:tblPr>
      <w:tblGrid>
        <w:gridCol w:w="5803"/>
        <w:gridCol w:w="2719"/>
      </w:tblGrid>
      <w:tr w:rsidR="0094480D" w14:paraId="3108AA87" w14:textId="77777777">
        <w:tc>
          <w:tcPr>
            <w:tcW w:w="5803" w:type="dxa"/>
            <w:tcBorders>
              <w:top w:val="nil"/>
              <w:left w:val="nil"/>
              <w:bottom w:val="nil"/>
              <w:right w:val="nil"/>
            </w:tcBorders>
          </w:tcPr>
          <w:p w14:paraId="57ED6161" w14:textId="77777777" w:rsidR="0094480D" w:rsidRDefault="002B1EA5">
            <w:pPr>
              <w:ind w:firstLineChars="0" w:firstLine="0"/>
              <w:rPr>
                <w:rFonts w:hAnsi="Cambria Math"/>
              </w:rPr>
            </w:pPr>
            <m:oMathPara>
              <m:oMathParaPr>
                <m:jc m:val="right"/>
              </m:oMathPara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r>
                      <m:rPr>
                        <m:sty m:val="p"/>
                      </m:rPr>
                      <w:rPr>
                        <w:rFonts w:ascii="Cambria Math" w:hAnsi="Cambria Math"/>
                      </w:rPr>
                      <m:t>ξ</m:t>
                    </m:r>
                    <m:r>
                      <m:rPr>
                        <m:sty m:val="p"/>
                      </m:rPr>
                      <w:rPr>
                        <w:rFonts w:ascii="Cambria Math" w:hAnsi="Cambria Math" w:hint="eastAsia"/>
                      </w:rPr>
                      <m:t>（</m:t>
                    </m:r>
                    <m:sSubSup>
                      <m:sSubSupPr>
                        <m:ctrlPr>
                          <w:rPr>
                            <w:rFonts w:ascii="Cambria Math" w:hAnsi="Cambria Math" w:hint="eastAsia"/>
                          </w:rPr>
                        </m:ctrlPr>
                      </m:sSubSupPr>
                      <m:e>
                        <m:r>
                          <m:rPr>
                            <m:sty m:val="p"/>
                          </m:rPr>
                          <w:rPr>
                            <w:rFonts w:ascii="Cambria Math" w:hAnsi="Cambria Math"/>
                          </w:rPr>
                          <m:t>x</m:t>
                        </m:r>
                      </m:e>
                      <m:sub>
                        <m:r>
                          <w:rPr>
                            <w:rFonts w:ascii="Cambria Math" w:hAnsi="Cambria Math"/>
                          </w:rPr>
                          <m:t>0</m:t>
                        </m:r>
                        <m:r>
                          <w:rPr>
                            <w:rFonts w:ascii="Cambria Math" w:hAnsi="Cambria Math"/>
                          </w:rPr>
                          <m:t>j</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r>
                      <m:rPr>
                        <m:sty m:val="p"/>
                      </m:rPr>
                      <w:rPr>
                        <w:rFonts w:ascii="Cambria Math" w:hAnsi="Cambria Math" w:hint="eastAsia"/>
                      </w:rPr>
                      <m:t>）</m:t>
                    </m:r>
                  </m:num>
                  <m:den>
                    <m:nary>
                      <m:naryPr>
                        <m:chr m:val="∑"/>
                        <m:limLoc m:val="subSup"/>
                        <m:ctrlPr>
                          <w:rPr>
                            <w:rFonts w:ascii="Cambria Math" w:hAnsi="Cambria Math"/>
                          </w:rPr>
                        </m:ctrlPr>
                      </m:naryPr>
                      <m:sub>
                        <m:r>
                          <m:rPr>
                            <m:sty m:val="p"/>
                          </m:rPr>
                          <w:rPr>
                            <w:rFonts w:ascii="Cambria Math" w:hAnsi="Cambria Math"/>
                          </w:rPr>
                          <m:t>j=1</m:t>
                        </m:r>
                      </m:sub>
                      <m:sup>
                        <m:r>
                          <m:rPr>
                            <m:sty m:val="p"/>
                          </m:rPr>
                          <w:rPr>
                            <w:rFonts w:ascii="Cambria Math" w:hAnsi="Cambria Math"/>
                          </w:rPr>
                          <m:t>n</m:t>
                        </m:r>
                      </m:sup>
                      <m:e>
                        <m:r>
                          <m:rPr>
                            <m:sty m:val="p"/>
                          </m:rPr>
                          <w:rPr>
                            <w:rFonts w:ascii="Cambria Math" w:hAnsi="Cambria Math"/>
                          </w:rPr>
                          <m:t>ξ</m:t>
                        </m:r>
                        <m:r>
                          <m:rPr>
                            <m:sty m:val="p"/>
                          </m:rPr>
                          <w:rPr>
                            <w:rFonts w:ascii="Cambria Math" w:hAnsi="Cambria Math" w:hint="eastAsia"/>
                          </w:rPr>
                          <m:t>（</m:t>
                        </m:r>
                        <m:sSubSup>
                          <m:sSubSupPr>
                            <m:ctrlPr>
                              <w:rPr>
                                <w:rFonts w:ascii="Cambria Math" w:hAnsi="Cambria Math" w:hint="eastAsia"/>
                              </w:rPr>
                            </m:ctrlPr>
                          </m:sSubSupPr>
                          <m:e>
                            <m:r>
                              <m:rPr>
                                <m:sty m:val="p"/>
                              </m:rPr>
                              <w:rPr>
                                <w:rFonts w:ascii="Cambria Math" w:hAnsi="Cambria Math"/>
                              </w:rPr>
                              <m:t>x</m:t>
                            </m:r>
                          </m:e>
                          <m:sub>
                            <m:r>
                              <w:rPr>
                                <w:rFonts w:ascii="Cambria Math" w:hAnsi="Cambria Math"/>
                              </w:rPr>
                              <m:t>0</m:t>
                            </m:r>
                            <m:r>
                              <w:rPr>
                                <w:rFonts w:ascii="Cambria Math" w:hAnsi="Cambria Math"/>
                              </w:rPr>
                              <m:t>j</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r>
                          <m:rPr>
                            <m:sty m:val="p"/>
                          </m:rPr>
                          <w:rPr>
                            <w:rFonts w:ascii="Cambria Math" w:hAnsi="Cambria Math" w:hint="eastAsia"/>
                          </w:rPr>
                          <m:t>）</m:t>
                        </m:r>
                      </m:e>
                    </m:nary>
                  </m:den>
                </m:f>
              </m:oMath>
            </m:oMathPara>
          </w:p>
        </w:tc>
        <w:tc>
          <w:tcPr>
            <w:tcW w:w="2719" w:type="dxa"/>
            <w:tcBorders>
              <w:top w:val="nil"/>
              <w:left w:val="nil"/>
              <w:bottom w:val="nil"/>
              <w:right w:val="nil"/>
            </w:tcBorders>
            <w:vAlign w:val="center"/>
          </w:tcPr>
          <w:p w14:paraId="48BDB655" w14:textId="77777777" w:rsidR="0094480D" w:rsidRDefault="002B1EA5">
            <w:pPr>
              <w:ind w:firstLineChars="0" w:firstLine="0"/>
              <w:jc w:val="right"/>
              <w:rPr>
                <w:rFonts w:hAnsi="Cambria Math"/>
              </w:rPr>
            </w:pPr>
            <w:r>
              <w:rPr>
                <w:rFonts w:hAnsi="Cambria Math" w:hint="eastAsia"/>
              </w:rPr>
              <w:t>（</w:t>
            </w:r>
            <w:r>
              <w:rPr>
                <w:rFonts w:hAnsi="Cambria Math" w:hint="eastAsia"/>
              </w:rPr>
              <w:t>3</w:t>
            </w:r>
            <w:r>
              <w:rPr>
                <w:rFonts w:hAnsi="Cambria Math" w:hint="eastAsia"/>
              </w:rPr>
              <w:t>）</w:t>
            </w:r>
          </w:p>
        </w:tc>
      </w:tr>
    </w:tbl>
    <w:p w14:paraId="3482DA1B" w14:textId="77777777" w:rsidR="0094480D" w:rsidRDefault="002B1EA5">
      <w:pPr>
        <w:ind w:firstLine="480"/>
        <w:rPr>
          <w:sz w:val="24"/>
          <w:szCs w:val="22"/>
        </w:rPr>
      </w:pPr>
      <w:r>
        <w:rPr>
          <w:rFonts w:hint="eastAsia"/>
          <w:sz w:val="24"/>
          <w:szCs w:val="22"/>
        </w:rPr>
        <w:t>式（</w:t>
      </w:r>
      <w:r>
        <w:rPr>
          <w:rFonts w:hint="eastAsia"/>
          <w:sz w:val="24"/>
          <w:szCs w:val="22"/>
        </w:rPr>
        <w:t>3</w:t>
      </w:r>
      <w:r>
        <w:rPr>
          <w:rFonts w:hint="eastAsia"/>
          <w:sz w:val="24"/>
          <w:szCs w:val="22"/>
        </w:rPr>
        <w:t>）中，</w:t>
      </w:r>
      <m:oMath>
        <m:sSub>
          <m:sSubPr>
            <m:ctrlPr>
              <w:rPr>
                <w:rFonts w:ascii="Cambria Math" w:hAnsi="Cambria Math"/>
                <w:i/>
                <w:sz w:val="24"/>
                <w:szCs w:val="22"/>
              </w:rPr>
            </m:ctrlPr>
          </m:sSubPr>
          <m:e>
            <m:r>
              <w:rPr>
                <w:rFonts w:ascii="Cambria Math" w:hAnsi="Cambria Math"/>
                <w:sz w:val="24"/>
                <w:szCs w:val="22"/>
              </w:rPr>
              <m:t>W</m:t>
            </m:r>
          </m:e>
          <m:sub>
            <m:r>
              <w:rPr>
                <w:rFonts w:ascii="Cambria Math" w:hAnsi="Cambria Math"/>
                <w:sz w:val="24"/>
                <w:szCs w:val="22"/>
              </w:rPr>
              <m:t>j</m:t>
            </m:r>
          </m:sub>
        </m:sSub>
      </m:oMath>
      <w:r>
        <w:rPr>
          <w:rFonts w:hint="eastAsia"/>
          <w:sz w:val="24"/>
          <w:szCs w:val="22"/>
        </w:rPr>
        <w:t>是指标</w:t>
      </w:r>
      <w:r>
        <w:rPr>
          <w:rFonts w:hint="eastAsia"/>
          <w:i/>
          <w:iCs/>
          <w:sz w:val="24"/>
          <w:szCs w:val="22"/>
        </w:rPr>
        <w:t>j</w:t>
      </w:r>
      <w:r>
        <w:rPr>
          <w:rFonts w:hint="eastAsia"/>
          <w:sz w:val="24"/>
          <w:szCs w:val="22"/>
        </w:rPr>
        <w:t>权重，</w:t>
      </w:r>
      <w:r>
        <w:rPr>
          <w:rFonts w:hint="eastAsia"/>
          <w:i/>
          <w:iCs/>
          <w:sz w:val="24"/>
          <w:szCs w:val="22"/>
        </w:rPr>
        <w:t>n</w:t>
      </w:r>
      <w:r>
        <w:rPr>
          <w:rFonts w:hint="eastAsia"/>
          <w:sz w:val="24"/>
          <w:szCs w:val="22"/>
        </w:rPr>
        <w:t>是指标的总数。</w:t>
      </w:r>
    </w:p>
    <w:p w14:paraId="1AF60837" w14:textId="77777777" w:rsidR="0094480D" w:rsidRDefault="002B1EA5">
      <w:pPr>
        <w:ind w:firstLine="480"/>
        <w:rPr>
          <w:sz w:val="24"/>
          <w:szCs w:val="22"/>
        </w:rPr>
      </w:pPr>
      <w:r>
        <w:rPr>
          <w:rFonts w:hint="eastAsia"/>
          <w:sz w:val="24"/>
          <w:szCs w:val="22"/>
        </w:rPr>
        <w:t>第三步：组织专家评分并构建评分矩阵</w:t>
      </w:r>
      <w:r>
        <w:rPr>
          <w:rFonts w:hint="eastAsia"/>
          <w:sz w:val="24"/>
          <w:szCs w:val="22"/>
        </w:rPr>
        <w:t>M</w:t>
      </w:r>
      <w:r>
        <w:rPr>
          <w:rFonts w:hint="eastAsia"/>
          <w:sz w:val="24"/>
          <w:szCs w:val="22"/>
        </w:rPr>
        <w:t>；</w:t>
      </w:r>
    </w:p>
    <w:p w14:paraId="6BA5E79E" w14:textId="77777777" w:rsidR="0094480D" w:rsidRDefault="002B1EA5">
      <w:pPr>
        <w:ind w:firstLine="480"/>
        <w:rPr>
          <w:sz w:val="24"/>
          <w:szCs w:val="22"/>
        </w:rPr>
      </w:pPr>
      <w:r>
        <w:rPr>
          <w:rFonts w:hint="eastAsia"/>
          <w:sz w:val="24"/>
          <w:szCs w:val="22"/>
        </w:rPr>
        <w:t>第四步：确定评价灰类；根据第一步有五个评价灰类，白化权函数示意图如图</w:t>
      </w:r>
      <w:r>
        <w:rPr>
          <w:rFonts w:hint="eastAsia"/>
          <w:sz w:val="24"/>
          <w:szCs w:val="22"/>
        </w:rPr>
        <w:t>1</w:t>
      </w:r>
      <w:r>
        <w:rPr>
          <w:rFonts w:hint="eastAsia"/>
          <w:sz w:val="24"/>
          <w:szCs w:val="22"/>
        </w:rPr>
        <w:t>所示。</w:t>
      </w:r>
    </w:p>
    <w:p w14:paraId="56B376BB" w14:textId="77777777" w:rsidR="0094480D" w:rsidRDefault="002B1EA5">
      <w:pPr>
        <w:ind w:firstLineChars="0" w:firstLine="0"/>
        <w:jc w:val="center"/>
      </w:pPr>
      <w:r>
        <w:rPr>
          <w:noProof/>
        </w:rPr>
        <w:lastRenderedPageBreak/>
        <w:drawing>
          <wp:inline distT="0" distB="0" distL="114300" distR="114300" wp14:anchorId="0993628C" wp14:editId="7638578B">
            <wp:extent cx="4869180" cy="247650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869180" cy="2476500"/>
                    </a:xfrm>
                    <a:prstGeom prst="rect">
                      <a:avLst/>
                    </a:prstGeom>
                    <a:noFill/>
                    <a:ln>
                      <a:noFill/>
                    </a:ln>
                  </pic:spPr>
                </pic:pic>
              </a:graphicData>
            </a:graphic>
          </wp:inline>
        </w:drawing>
      </w:r>
    </w:p>
    <w:p w14:paraId="3DDED826" w14:textId="77777777" w:rsidR="0094480D" w:rsidRDefault="002B1EA5">
      <w:pPr>
        <w:ind w:firstLineChars="0" w:firstLine="0"/>
        <w:jc w:val="center"/>
        <w:rPr>
          <w:sz w:val="24"/>
          <w:szCs w:val="22"/>
        </w:rPr>
      </w:pPr>
      <w:r>
        <w:rPr>
          <w:rFonts w:hint="eastAsia"/>
          <w:sz w:val="24"/>
          <w:szCs w:val="22"/>
        </w:rPr>
        <w:t>图</w:t>
      </w:r>
      <w:r>
        <w:rPr>
          <w:rFonts w:hint="eastAsia"/>
          <w:sz w:val="24"/>
          <w:szCs w:val="22"/>
        </w:rPr>
        <w:t xml:space="preserve">1 </w:t>
      </w:r>
      <w:r>
        <w:rPr>
          <w:rFonts w:hint="eastAsia"/>
          <w:sz w:val="24"/>
          <w:szCs w:val="22"/>
        </w:rPr>
        <w:t>白化权函数示意图</w:t>
      </w:r>
    </w:p>
    <w:p w14:paraId="2916F915" w14:textId="77777777" w:rsidR="0094480D" w:rsidRDefault="002B1EA5">
      <w:pPr>
        <w:ind w:firstLine="480"/>
        <w:rPr>
          <w:rFonts w:hAnsi="Cambria Math"/>
          <w:sz w:val="24"/>
          <w:szCs w:val="22"/>
        </w:rPr>
      </w:pPr>
      <w:r>
        <w:rPr>
          <w:rFonts w:hint="eastAsia"/>
          <w:sz w:val="24"/>
          <w:szCs w:val="22"/>
        </w:rPr>
        <w:t>第五步：确定评价系数。根据白化权函数对二级指标计算灰色评价系数：</w:t>
      </w:r>
    </w:p>
    <w:tbl>
      <w:tblPr>
        <w:tblStyle w:val="a6"/>
        <w:tblW w:w="0" w:type="auto"/>
        <w:tblLayout w:type="fixed"/>
        <w:tblLook w:val="04A0" w:firstRow="1" w:lastRow="0" w:firstColumn="1" w:lastColumn="0" w:noHBand="0" w:noVBand="1"/>
      </w:tblPr>
      <w:tblGrid>
        <w:gridCol w:w="5364"/>
        <w:gridCol w:w="3158"/>
      </w:tblGrid>
      <w:tr w:rsidR="0094480D" w14:paraId="0A70093C" w14:textId="77777777">
        <w:tc>
          <w:tcPr>
            <w:tcW w:w="5364" w:type="dxa"/>
            <w:tcBorders>
              <w:top w:val="nil"/>
              <w:left w:val="nil"/>
              <w:bottom w:val="nil"/>
              <w:right w:val="nil"/>
            </w:tcBorders>
            <w:vAlign w:val="center"/>
          </w:tcPr>
          <w:p w14:paraId="715E54D8" w14:textId="77777777" w:rsidR="0094480D" w:rsidRDefault="002B1EA5">
            <w:pPr>
              <w:ind w:firstLine="480"/>
              <w:jc w:val="right"/>
              <w:rPr>
                <w:rFonts w:hAnsi="Cambria Math"/>
                <w:sz w:val="24"/>
                <w:szCs w:val="22"/>
              </w:rPr>
            </w:pPr>
            <m:oMathPara>
              <m:oMathParaPr>
                <m:jc m:val="right"/>
              </m:oMathParaPr>
              <m:oMath>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ije</m:t>
                    </m:r>
                  </m:sub>
                </m:sSub>
                <m:r>
                  <w:rPr>
                    <w:rFonts w:ascii="Cambria Math" w:hAnsi="Cambria Math"/>
                    <w:sz w:val="24"/>
                    <w:szCs w:val="22"/>
                  </w:rPr>
                  <m:t>=</m:t>
                </m:r>
                <m:nary>
                  <m:naryPr>
                    <m:chr m:val="∑"/>
                    <m:limLoc m:val="undOvr"/>
                    <m:ctrlPr>
                      <w:rPr>
                        <w:rFonts w:ascii="Cambria Math" w:hAnsi="Cambria Math"/>
                        <w:i/>
                        <w:sz w:val="24"/>
                        <w:szCs w:val="22"/>
                      </w:rPr>
                    </m:ctrlPr>
                  </m:naryPr>
                  <m:sub>
                    <m:r>
                      <w:rPr>
                        <w:rFonts w:ascii="Cambria Math" w:hAnsi="Cambria Math"/>
                        <w:sz w:val="24"/>
                        <w:szCs w:val="22"/>
                      </w:rPr>
                      <m:t>t</m:t>
                    </m:r>
                    <m:r>
                      <w:rPr>
                        <w:rFonts w:ascii="Cambria Math" w:hAnsi="Cambria Math"/>
                        <w:sz w:val="24"/>
                        <w:szCs w:val="22"/>
                      </w:rPr>
                      <m:t>=1</m:t>
                    </m:r>
                  </m:sub>
                  <m:sup>
                    <m:r>
                      <w:rPr>
                        <w:rFonts w:ascii="Cambria Math" w:hAnsi="Cambria Math"/>
                        <w:sz w:val="24"/>
                        <w:szCs w:val="22"/>
                      </w:rPr>
                      <m:t>10</m:t>
                    </m:r>
                  </m:sup>
                  <m:e>
                    <m:sSub>
                      <m:sSubPr>
                        <m:ctrlPr>
                          <w:rPr>
                            <w:rFonts w:ascii="Cambria Math" w:hAnsi="Cambria Math"/>
                            <w:i/>
                            <w:sz w:val="24"/>
                            <w:szCs w:val="22"/>
                          </w:rPr>
                        </m:ctrlPr>
                      </m:sSubPr>
                      <m:e>
                        <m:r>
                          <w:rPr>
                            <w:rFonts w:ascii="Cambria Math" w:hAnsi="Cambria Math"/>
                            <w:sz w:val="24"/>
                            <w:szCs w:val="22"/>
                          </w:rPr>
                          <m:t>f</m:t>
                        </m:r>
                      </m:e>
                      <m:sub>
                        <m:r>
                          <w:rPr>
                            <w:rFonts w:ascii="Cambria Math" w:hAnsi="Cambria Math"/>
                            <w:sz w:val="24"/>
                            <w:szCs w:val="22"/>
                          </w:rPr>
                          <m:t>e</m:t>
                        </m:r>
                      </m:sub>
                    </m:sSub>
                    <m:r>
                      <w:rPr>
                        <w:rFonts w:ascii="Cambria Math" w:hAnsi="Cambria Math"/>
                        <w:sz w:val="24"/>
                        <w:szCs w:val="22"/>
                      </w:rPr>
                      <m:t>(</m:t>
                    </m:r>
                    <m:sSub>
                      <m:sSubPr>
                        <m:ctrlPr>
                          <w:rPr>
                            <w:rFonts w:ascii="Cambria Math" w:hAnsi="Cambria Math"/>
                            <w:i/>
                            <w:sz w:val="24"/>
                            <w:szCs w:val="22"/>
                          </w:rPr>
                        </m:ctrlPr>
                      </m:sSubPr>
                      <m:e>
                        <m:r>
                          <w:rPr>
                            <w:rFonts w:ascii="Cambria Math" w:hAnsi="Cambria Math"/>
                            <w:sz w:val="24"/>
                            <w:szCs w:val="22"/>
                          </w:rPr>
                          <m:t>m</m:t>
                        </m:r>
                      </m:e>
                      <m:sub>
                        <m:r>
                          <w:rPr>
                            <w:rFonts w:ascii="Cambria Math" w:hAnsi="Cambria Math"/>
                            <w:sz w:val="24"/>
                            <w:szCs w:val="22"/>
                          </w:rPr>
                          <m:t>ijt</m:t>
                        </m:r>
                      </m:sub>
                    </m:sSub>
                    <m:r>
                      <w:rPr>
                        <w:rFonts w:ascii="Cambria Math" w:hAnsi="Cambria Math"/>
                        <w:sz w:val="24"/>
                        <w:szCs w:val="22"/>
                      </w:rPr>
                      <m:t>)</m:t>
                    </m:r>
                  </m:e>
                </m:nary>
              </m:oMath>
            </m:oMathPara>
          </w:p>
        </w:tc>
        <w:tc>
          <w:tcPr>
            <w:tcW w:w="3158" w:type="dxa"/>
            <w:tcBorders>
              <w:top w:val="nil"/>
              <w:left w:val="nil"/>
              <w:bottom w:val="nil"/>
              <w:right w:val="nil"/>
            </w:tcBorders>
            <w:vAlign w:val="center"/>
          </w:tcPr>
          <w:p w14:paraId="4AE9E7D7" w14:textId="77777777" w:rsidR="0094480D" w:rsidRDefault="002B1EA5">
            <w:pPr>
              <w:ind w:firstLine="480"/>
              <w:jc w:val="right"/>
              <w:rPr>
                <w:rFonts w:hAnsi="Cambria Math"/>
                <w:sz w:val="24"/>
                <w:szCs w:val="22"/>
              </w:rPr>
            </w:pPr>
            <w:r>
              <w:rPr>
                <w:rFonts w:hAnsi="Cambria Math" w:hint="eastAsia"/>
                <w:sz w:val="24"/>
                <w:szCs w:val="22"/>
              </w:rPr>
              <w:t>（</w:t>
            </w:r>
            <w:r>
              <w:rPr>
                <w:rFonts w:hAnsi="Cambria Math" w:hint="eastAsia"/>
                <w:sz w:val="24"/>
                <w:szCs w:val="22"/>
              </w:rPr>
              <w:t>4</w:t>
            </w:r>
            <w:r>
              <w:rPr>
                <w:rFonts w:hAnsi="Cambria Math" w:hint="eastAsia"/>
                <w:sz w:val="24"/>
                <w:szCs w:val="22"/>
              </w:rPr>
              <w:t>）</w:t>
            </w:r>
          </w:p>
        </w:tc>
      </w:tr>
    </w:tbl>
    <w:p w14:paraId="071F0C61" w14:textId="77777777" w:rsidR="0094480D" w:rsidRDefault="002B1EA5">
      <w:pPr>
        <w:ind w:firstLine="480"/>
        <w:rPr>
          <w:rFonts w:hAnsi="Cambria Math"/>
          <w:sz w:val="24"/>
          <w:szCs w:val="22"/>
        </w:rPr>
      </w:pPr>
      <w:r>
        <w:rPr>
          <w:rFonts w:hAnsi="Cambria Math" w:hint="eastAsia"/>
          <w:sz w:val="24"/>
          <w:szCs w:val="22"/>
        </w:rPr>
        <w:t>灰色系数为：</w:t>
      </w:r>
    </w:p>
    <w:tbl>
      <w:tblPr>
        <w:tblStyle w:val="a6"/>
        <w:tblW w:w="0" w:type="auto"/>
        <w:tblLayout w:type="fixed"/>
        <w:tblLook w:val="04A0" w:firstRow="1" w:lastRow="0" w:firstColumn="1" w:lastColumn="0" w:noHBand="0" w:noVBand="1"/>
      </w:tblPr>
      <w:tblGrid>
        <w:gridCol w:w="5364"/>
        <w:gridCol w:w="3158"/>
      </w:tblGrid>
      <w:tr w:rsidR="0094480D" w14:paraId="3AD126C9" w14:textId="77777777">
        <w:tc>
          <w:tcPr>
            <w:tcW w:w="5364" w:type="dxa"/>
            <w:tcBorders>
              <w:top w:val="nil"/>
              <w:left w:val="nil"/>
              <w:bottom w:val="nil"/>
              <w:right w:val="nil"/>
            </w:tcBorders>
            <w:vAlign w:val="center"/>
          </w:tcPr>
          <w:p w14:paraId="4D2AA6F3" w14:textId="77777777" w:rsidR="0094480D" w:rsidRDefault="002B1EA5">
            <w:pPr>
              <w:ind w:firstLine="480"/>
              <w:jc w:val="right"/>
              <w:rPr>
                <w:rFonts w:hAnsi="Cambria Math"/>
                <w:sz w:val="24"/>
                <w:szCs w:val="22"/>
              </w:rPr>
            </w:pPr>
            <m:oMathPara>
              <m:oMathParaPr>
                <m:jc m:val="right"/>
              </m:oMathParaPr>
              <m:oMath>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m:t>
                    </m:r>
                  </m:sub>
                </m:sSub>
                <m:r>
                  <w:rPr>
                    <w:rFonts w:ascii="Cambria Math" w:hAnsi="Cambria Math"/>
                    <w:sz w:val="24"/>
                    <w:szCs w:val="22"/>
                  </w:rPr>
                  <m:t>=</m:t>
                </m:r>
                <m:nary>
                  <m:naryPr>
                    <m:chr m:val="∑"/>
                    <m:limLoc m:val="undOvr"/>
                    <m:ctrlPr>
                      <w:rPr>
                        <w:rFonts w:ascii="Cambria Math" w:hAnsi="Cambria Math"/>
                        <w:i/>
                        <w:sz w:val="24"/>
                        <w:szCs w:val="22"/>
                      </w:rPr>
                    </m:ctrlPr>
                  </m:naryPr>
                  <m:sub>
                    <m:r>
                      <w:rPr>
                        <w:rFonts w:ascii="Cambria Math" w:hAnsi="Cambria Math"/>
                        <w:sz w:val="24"/>
                        <w:szCs w:val="22"/>
                      </w:rPr>
                      <m:t>e</m:t>
                    </m:r>
                    <m:r>
                      <w:rPr>
                        <w:rFonts w:ascii="Cambria Math" w:hAnsi="Cambria Math"/>
                        <w:sz w:val="24"/>
                        <w:szCs w:val="22"/>
                      </w:rPr>
                      <m:t>=1</m:t>
                    </m:r>
                  </m:sub>
                  <m:sup>
                    <m:r>
                      <w:rPr>
                        <w:rFonts w:ascii="Cambria Math" w:hAnsi="Cambria Math"/>
                        <w:sz w:val="24"/>
                        <w:szCs w:val="22"/>
                      </w:rPr>
                      <m:t>5</m:t>
                    </m:r>
                  </m:sup>
                  <m:e>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ije</m:t>
                        </m:r>
                      </m:sub>
                    </m:sSub>
                  </m:e>
                </m:nary>
              </m:oMath>
            </m:oMathPara>
          </w:p>
        </w:tc>
        <w:tc>
          <w:tcPr>
            <w:tcW w:w="3158" w:type="dxa"/>
            <w:tcBorders>
              <w:top w:val="nil"/>
              <w:left w:val="nil"/>
              <w:bottom w:val="nil"/>
              <w:right w:val="nil"/>
            </w:tcBorders>
            <w:vAlign w:val="center"/>
          </w:tcPr>
          <w:p w14:paraId="78539D94" w14:textId="77777777" w:rsidR="0094480D" w:rsidRDefault="002B1EA5">
            <w:pPr>
              <w:ind w:firstLine="480"/>
              <w:jc w:val="right"/>
              <w:rPr>
                <w:rFonts w:hAnsi="Cambria Math"/>
                <w:sz w:val="24"/>
                <w:szCs w:val="22"/>
              </w:rPr>
            </w:pPr>
            <w:r>
              <w:rPr>
                <w:rFonts w:hAnsi="Cambria Math" w:hint="eastAsia"/>
                <w:sz w:val="24"/>
                <w:szCs w:val="22"/>
              </w:rPr>
              <w:t>（</w:t>
            </w:r>
            <w:r>
              <w:rPr>
                <w:rFonts w:hAnsi="Cambria Math" w:hint="eastAsia"/>
                <w:sz w:val="24"/>
                <w:szCs w:val="22"/>
              </w:rPr>
              <w:t>5</w:t>
            </w:r>
            <w:r>
              <w:rPr>
                <w:rFonts w:hAnsi="Cambria Math" w:hint="eastAsia"/>
                <w:sz w:val="24"/>
                <w:szCs w:val="22"/>
              </w:rPr>
              <w:t>）</w:t>
            </w:r>
          </w:p>
        </w:tc>
      </w:tr>
    </w:tbl>
    <w:p w14:paraId="04C9B5C7" w14:textId="77777777" w:rsidR="0094480D" w:rsidRDefault="002B1EA5">
      <w:pPr>
        <w:ind w:firstLine="480"/>
        <w:rPr>
          <w:rFonts w:hAnsi="Cambria Math"/>
          <w:sz w:val="24"/>
          <w:szCs w:val="22"/>
        </w:rPr>
      </w:pPr>
      <w:r>
        <w:rPr>
          <w:rFonts w:hint="eastAsia"/>
          <w:sz w:val="24"/>
          <w:szCs w:val="22"/>
        </w:rPr>
        <w:t>第六步：计算灰色评价权向量及权矩阵。指标</w:t>
      </w:r>
      <m:oMath>
        <m:sSub>
          <m:sSubPr>
            <m:ctrlPr>
              <w:rPr>
                <w:rFonts w:ascii="Cambria Math" w:hAnsi="Cambria Math"/>
                <w:i/>
                <w:sz w:val="24"/>
                <w:szCs w:val="22"/>
              </w:rPr>
            </m:ctrlPr>
          </m:sSubPr>
          <m:e>
            <m:r>
              <w:rPr>
                <w:rFonts w:ascii="Cambria Math" w:hAnsi="Cambria Math"/>
                <w:sz w:val="24"/>
                <w:szCs w:val="22"/>
              </w:rPr>
              <m:t>V</m:t>
            </m:r>
          </m:e>
          <m:sub>
            <m:r>
              <w:rPr>
                <w:rFonts w:ascii="Cambria Math" w:hAnsi="Cambria Math"/>
                <w:sz w:val="24"/>
                <w:szCs w:val="22"/>
              </w:rPr>
              <m:t>ij</m:t>
            </m:r>
          </m:sub>
        </m:sSub>
      </m:oMath>
      <w:r>
        <w:rPr>
          <w:rFonts w:hint="eastAsia"/>
          <w:sz w:val="24"/>
          <w:szCs w:val="22"/>
        </w:rPr>
        <w:t>属于第</w:t>
      </w:r>
      <w:r>
        <w:rPr>
          <w:rFonts w:hint="eastAsia"/>
          <w:sz w:val="24"/>
          <w:szCs w:val="22"/>
        </w:rPr>
        <w:t>e</w:t>
      </w:r>
      <w:r>
        <w:rPr>
          <w:rFonts w:hint="eastAsia"/>
          <w:sz w:val="24"/>
          <w:szCs w:val="22"/>
        </w:rPr>
        <w:t>个灰类灰色评估权为：</w:t>
      </w:r>
    </w:p>
    <w:tbl>
      <w:tblPr>
        <w:tblStyle w:val="a6"/>
        <w:tblW w:w="0" w:type="auto"/>
        <w:tblLayout w:type="fixed"/>
        <w:tblLook w:val="04A0" w:firstRow="1" w:lastRow="0" w:firstColumn="1" w:lastColumn="0" w:noHBand="0" w:noVBand="1"/>
      </w:tblPr>
      <w:tblGrid>
        <w:gridCol w:w="5364"/>
        <w:gridCol w:w="3158"/>
      </w:tblGrid>
      <w:tr w:rsidR="0094480D" w14:paraId="58D68FAA" w14:textId="77777777">
        <w:tc>
          <w:tcPr>
            <w:tcW w:w="5364" w:type="dxa"/>
            <w:tcBorders>
              <w:top w:val="nil"/>
              <w:left w:val="nil"/>
              <w:bottom w:val="nil"/>
              <w:right w:val="nil"/>
            </w:tcBorders>
            <w:vAlign w:val="center"/>
          </w:tcPr>
          <w:p w14:paraId="494F5514" w14:textId="77777777" w:rsidR="0094480D" w:rsidRDefault="002B1EA5">
            <w:pPr>
              <w:ind w:firstLine="480"/>
              <w:jc w:val="right"/>
              <w:rPr>
                <w:rFonts w:hAnsi="Cambria Math"/>
                <w:sz w:val="24"/>
                <w:szCs w:val="22"/>
              </w:rPr>
            </w:pPr>
            <m:oMathPara>
              <m:oMathParaPr>
                <m:jc m:val="right"/>
              </m:oMathParaPr>
              <m:oMath>
                <m:sSub>
                  <m:sSubPr>
                    <m:ctrlPr>
                      <w:rPr>
                        <w:rFonts w:ascii="Cambria Math" w:hAnsi="Cambria Math"/>
                        <w:i/>
                        <w:sz w:val="24"/>
                        <w:szCs w:val="22"/>
                      </w:rPr>
                    </m:ctrlPr>
                  </m:sSubPr>
                  <m:e>
                    <m:r>
                      <w:rPr>
                        <w:rFonts w:ascii="Cambria Math" w:hAnsi="Cambria Math"/>
                        <w:sz w:val="24"/>
                        <w:szCs w:val="22"/>
                      </w:rPr>
                      <m:t>q</m:t>
                    </m:r>
                  </m:e>
                  <m:sub>
                    <m:r>
                      <w:rPr>
                        <w:rFonts w:ascii="Cambria Math" w:hAnsi="Cambria Math"/>
                        <w:sz w:val="24"/>
                        <w:szCs w:val="22"/>
                      </w:rPr>
                      <m:t>ije</m:t>
                    </m:r>
                  </m:sub>
                </m:sSub>
                <m:r>
                  <w:rPr>
                    <w:rFonts w:ascii="Cambria Math" w:hAnsi="Cambria Math"/>
                    <w:sz w:val="24"/>
                    <w:szCs w:val="22"/>
                  </w:rPr>
                  <m:t>=</m:t>
                </m:r>
                <m:f>
                  <m:fPr>
                    <m:ctrlPr>
                      <w:rPr>
                        <w:rFonts w:ascii="Cambria Math" w:hAnsi="Cambria Math"/>
                        <w:i/>
                        <w:sz w:val="24"/>
                        <w:szCs w:val="22"/>
                      </w:rPr>
                    </m:ctrlPr>
                  </m:fPr>
                  <m:num>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ije</m:t>
                        </m:r>
                      </m:sub>
                    </m:sSub>
                  </m:num>
                  <m:den>
                    <m:sSub>
                      <m:sSubPr>
                        <m:ctrlPr>
                          <w:rPr>
                            <w:rFonts w:ascii="Cambria Math" w:hAnsi="Cambria Math"/>
                            <w:i/>
                            <w:sz w:val="24"/>
                            <w:szCs w:val="22"/>
                          </w:rPr>
                        </m:ctrlPr>
                      </m:sSubPr>
                      <m:e>
                        <m:r>
                          <w:rPr>
                            <w:rFonts w:ascii="Cambria Math" w:hAnsi="Cambria Math"/>
                            <w:sz w:val="24"/>
                            <w:szCs w:val="22"/>
                          </w:rPr>
                          <m:t>x</m:t>
                        </m:r>
                      </m:e>
                      <m:sub>
                        <m:r>
                          <w:rPr>
                            <w:rFonts w:ascii="Cambria Math" w:hAnsi="Cambria Math"/>
                            <w:sz w:val="24"/>
                            <w:szCs w:val="22"/>
                          </w:rPr>
                          <m:t>ij</m:t>
                        </m:r>
                      </m:sub>
                    </m:sSub>
                  </m:den>
                </m:f>
              </m:oMath>
            </m:oMathPara>
          </w:p>
        </w:tc>
        <w:tc>
          <w:tcPr>
            <w:tcW w:w="3158" w:type="dxa"/>
            <w:tcBorders>
              <w:top w:val="nil"/>
              <w:left w:val="nil"/>
              <w:bottom w:val="nil"/>
              <w:right w:val="nil"/>
            </w:tcBorders>
            <w:vAlign w:val="center"/>
          </w:tcPr>
          <w:p w14:paraId="037FCC8B" w14:textId="77777777" w:rsidR="0094480D" w:rsidRDefault="002B1EA5">
            <w:pPr>
              <w:ind w:firstLine="480"/>
              <w:jc w:val="right"/>
              <w:rPr>
                <w:rFonts w:hAnsi="Cambria Math"/>
                <w:sz w:val="24"/>
                <w:szCs w:val="22"/>
              </w:rPr>
            </w:pPr>
            <w:r>
              <w:rPr>
                <w:rFonts w:hAnsi="Cambria Math" w:hint="eastAsia"/>
                <w:sz w:val="24"/>
                <w:szCs w:val="22"/>
              </w:rPr>
              <w:t>（</w:t>
            </w:r>
            <w:r>
              <w:rPr>
                <w:rFonts w:hAnsi="Cambria Math" w:hint="eastAsia"/>
                <w:sz w:val="24"/>
                <w:szCs w:val="22"/>
              </w:rPr>
              <w:t>5</w:t>
            </w:r>
            <w:r>
              <w:rPr>
                <w:rFonts w:hAnsi="Cambria Math" w:hint="eastAsia"/>
                <w:sz w:val="24"/>
                <w:szCs w:val="22"/>
              </w:rPr>
              <w:t>）</w:t>
            </w:r>
          </w:p>
        </w:tc>
      </w:tr>
    </w:tbl>
    <w:p w14:paraId="3A525C2D" w14:textId="77777777" w:rsidR="0094480D" w:rsidRDefault="002B1EA5">
      <w:pPr>
        <w:ind w:firstLine="480"/>
        <w:rPr>
          <w:sz w:val="24"/>
          <w:szCs w:val="22"/>
        </w:rPr>
      </w:pPr>
      <w:r>
        <w:rPr>
          <w:rFonts w:hint="eastAsia"/>
          <w:sz w:val="24"/>
          <w:szCs w:val="22"/>
        </w:rPr>
        <w:t>根据</w:t>
      </w:r>
      <m:oMath>
        <m:sSub>
          <m:sSubPr>
            <m:ctrlPr>
              <w:rPr>
                <w:rFonts w:ascii="Cambria Math" w:hAnsi="Cambria Math"/>
                <w:i/>
                <w:sz w:val="24"/>
                <w:szCs w:val="22"/>
              </w:rPr>
            </m:ctrlPr>
          </m:sSubPr>
          <m:e>
            <m:r>
              <w:rPr>
                <w:rFonts w:ascii="Cambria Math" w:hAnsi="Cambria Math"/>
                <w:sz w:val="24"/>
                <w:szCs w:val="22"/>
              </w:rPr>
              <m:t>q</m:t>
            </m:r>
          </m:e>
          <m:sub>
            <m:r>
              <w:rPr>
                <w:rFonts w:ascii="Cambria Math" w:hAnsi="Cambria Math"/>
                <w:sz w:val="24"/>
                <w:szCs w:val="22"/>
              </w:rPr>
              <m:t>ije</m:t>
            </m:r>
          </m:sub>
        </m:sSub>
      </m:oMath>
      <w:r>
        <w:rPr>
          <w:rFonts w:hAnsi="Cambria Math" w:hint="eastAsia"/>
          <w:sz w:val="24"/>
          <w:szCs w:val="22"/>
        </w:rPr>
        <w:t>建立灰色权矩阵</w:t>
      </w:r>
      <m:oMath>
        <m:sSub>
          <m:sSubPr>
            <m:ctrlPr>
              <w:rPr>
                <w:rFonts w:ascii="Cambria Math" w:hAnsi="Cambria Math"/>
                <w:i/>
                <w:sz w:val="24"/>
                <w:szCs w:val="22"/>
              </w:rPr>
            </m:ctrlPr>
          </m:sSubPr>
          <m:e>
            <m:r>
              <w:rPr>
                <w:rFonts w:ascii="Cambria Math" w:hAnsi="Cambria Math"/>
                <w:sz w:val="24"/>
                <w:szCs w:val="22"/>
              </w:rPr>
              <m:t>R</m:t>
            </m:r>
          </m:e>
          <m:sub>
            <m:r>
              <w:rPr>
                <w:rFonts w:ascii="Cambria Math" w:hAnsi="Cambria Math"/>
                <w:sz w:val="24"/>
                <w:szCs w:val="22"/>
              </w:rPr>
              <m:t>i</m:t>
            </m:r>
          </m:sub>
        </m:sSub>
      </m:oMath>
      <w:r>
        <w:rPr>
          <w:rFonts w:hAnsi="Cambria Math" w:hint="eastAsia"/>
          <w:sz w:val="24"/>
          <w:szCs w:val="22"/>
        </w:rPr>
        <w:t>。</w:t>
      </w:r>
    </w:p>
    <w:p w14:paraId="04A70803" w14:textId="77777777" w:rsidR="0094480D" w:rsidRDefault="002B1EA5">
      <w:pPr>
        <w:ind w:firstLine="480"/>
        <w:rPr>
          <w:sz w:val="24"/>
          <w:szCs w:val="22"/>
        </w:rPr>
      </w:pPr>
      <w:r>
        <w:rPr>
          <w:rFonts w:hint="eastAsia"/>
          <w:sz w:val="24"/>
          <w:szCs w:val="22"/>
        </w:rPr>
        <w:t>第七步：建立一级指标权向量矩阵，结果为</w:t>
      </w:r>
      <m:oMath>
        <m:sSub>
          <m:sSubPr>
            <m:ctrlPr>
              <w:rPr>
                <w:rFonts w:ascii="Cambria Math" w:hAnsi="Cambria Math"/>
                <w:i/>
                <w:sz w:val="24"/>
                <w:szCs w:val="22"/>
              </w:rPr>
            </m:ctrlPr>
          </m:sSubPr>
          <m:e>
            <m:r>
              <w:rPr>
                <w:rFonts w:ascii="Cambria Math" w:hAnsi="Cambria Math"/>
                <w:sz w:val="24"/>
                <w:szCs w:val="22"/>
              </w:rPr>
              <m:t>B</m:t>
            </m:r>
          </m:e>
          <m:sub>
            <m:r>
              <w:rPr>
                <w:rFonts w:ascii="Cambria Math" w:hAnsi="Cambria Math"/>
                <w:sz w:val="24"/>
                <w:szCs w:val="22"/>
              </w:rPr>
              <m:t>i</m:t>
            </m:r>
          </m:sub>
        </m:sSub>
      </m:oMath>
      <w:r>
        <w:rPr>
          <w:rFonts w:hAnsi="Cambria Math" w:hint="eastAsia"/>
          <w:sz w:val="24"/>
          <w:szCs w:val="22"/>
        </w:rPr>
        <w:t>。构建整体评价矩阵</w:t>
      </w:r>
      <w:r>
        <w:rPr>
          <w:rFonts w:hAnsi="Cambria Math" w:hint="eastAsia"/>
          <w:sz w:val="24"/>
          <w:szCs w:val="22"/>
        </w:rPr>
        <w:t>B</w:t>
      </w:r>
      <w:r>
        <w:rPr>
          <w:rFonts w:hAnsi="Cambria Math" w:hint="eastAsia"/>
          <w:sz w:val="24"/>
          <w:szCs w:val="22"/>
        </w:rPr>
        <w:t>。</w:t>
      </w:r>
    </w:p>
    <w:p w14:paraId="16EB1084" w14:textId="77777777" w:rsidR="0094480D" w:rsidRDefault="002B1EA5">
      <w:pPr>
        <w:ind w:firstLine="480"/>
        <w:rPr>
          <w:sz w:val="24"/>
          <w:szCs w:val="22"/>
        </w:rPr>
      </w:pPr>
      <w:r>
        <w:rPr>
          <w:rFonts w:hint="eastAsia"/>
          <w:sz w:val="24"/>
          <w:szCs w:val="22"/>
        </w:rPr>
        <w:t>第八步：综合评价</w:t>
      </w:r>
      <w:r>
        <w:rPr>
          <w:rFonts w:hint="eastAsia"/>
          <w:sz w:val="24"/>
          <w:szCs w:val="22"/>
        </w:rPr>
        <w:t>Q</w:t>
      </w:r>
      <w:r>
        <w:rPr>
          <w:rFonts w:hint="eastAsia"/>
          <w:sz w:val="24"/>
          <w:szCs w:val="22"/>
        </w:rPr>
        <w:t>。</w:t>
      </w:r>
    </w:p>
    <w:tbl>
      <w:tblPr>
        <w:tblStyle w:val="a6"/>
        <w:tblW w:w="0" w:type="auto"/>
        <w:tblLayout w:type="fixed"/>
        <w:tblLook w:val="04A0" w:firstRow="1" w:lastRow="0" w:firstColumn="1" w:lastColumn="0" w:noHBand="0" w:noVBand="1"/>
      </w:tblPr>
      <w:tblGrid>
        <w:gridCol w:w="5364"/>
        <w:gridCol w:w="3158"/>
      </w:tblGrid>
      <w:tr w:rsidR="0094480D" w14:paraId="0F68F1B5" w14:textId="77777777">
        <w:tc>
          <w:tcPr>
            <w:tcW w:w="5364" w:type="dxa"/>
            <w:tcBorders>
              <w:top w:val="nil"/>
              <w:left w:val="nil"/>
              <w:bottom w:val="nil"/>
              <w:right w:val="nil"/>
            </w:tcBorders>
            <w:vAlign w:val="center"/>
          </w:tcPr>
          <w:p w14:paraId="52E55EFC" w14:textId="77777777" w:rsidR="0094480D" w:rsidRDefault="002B1EA5">
            <w:pPr>
              <w:ind w:firstLine="560"/>
              <w:rPr>
                <w:rFonts w:hAnsi="Cambria Math"/>
              </w:rPr>
            </w:pPr>
            <m:oMathPara>
              <m:oMathParaPr>
                <m:jc m:val="right"/>
              </m:oMathParaPr>
              <m:oMath>
                <m:r>
                  <m:rPr>
                    <m:sty m:val="p"/>
                  </m:rPr>
                  <w:rPr>
                    <w:rFonts w:ascii="Cambria Math" w:hAnsi="Cambria Math"/>
                  </w:rPr>
                  <m:t>Q=B</m:t>
                </m:r>
                <m:r>
                  <m:rPr>
                    <m:sty m:val="p"/>
                  </m:rPr>
                  <w:rPr>
                    <w:rFonts w:ascii="Cambria Math" w:hAnsi="Cambria Math" w:cs="Cambria Math"/>
                  </w:rPr>
                  <m:t>×</m:t>
                </m:r>
                <m:sSup>
                  <m:sSupPr>
                    <m:ctrlPr>
                      <w:rPr>
                        <w:rFonts w:ascii="Cambria Math" w:hAnsi="Cambria Math" w:cs="Cambria Math"/>
                      </w:rPr>
                    </m:ctrlPr>
                  </m:sSupPr>
                  <m:e>
                    <m:r>
                      <m:rPr>
                        <m:sty m:val="p"/>
                      </m:rPr>
                      <w:rPr>
                        <w:rFonts w:ascii="Cambria Math" w:hAnsi="Cambria Math" w:cs="Cambria Math"/>
                      </w:rPr>
                      <m:t>C</m:t>
                    </m:r>
                  </m:e>
                  <m:sup>
                    <m:r>
                      <m:rPr>
                        <m:sty m:val="p"/>
                      </m:rPr>
                      <w:rPr>
                        <w:rFonts w:ascii="Cambria Math" w:hAnsi="Cambria Math" w:cs="Cambria Math"/>
                      </w:rPr>
                      <m:t>T</m:t>
                    </m:r>
                  </m:sup>
                </m:sSup>
              </m:oMath>
            </m:oMathPara>
          </w:p>
        </w:tc>
        <w:tc>
          <w:tcPr>
            <w:tcW w:w="3158" w:type="dxa"/>
            <w:tcBorders>
              <w:top w:val="nil"/>
              <w:left w:val="nil"/>
              <w:bottom w:val="nil"/>
              <w:right w:val="nil"/>
            </w:tcBorders>
            <w:vAlign w:val="center"/>
          </w:tcPr>
          <w:p w14:paraId="4479CAE1" w14:textId="77777777" w:rsidR="0094480D" w:rsidRDefault="002B1EA5">
            <w:pPr>
              <w:ind w:firstLine="560"/>
              <w:jc w:val="right"/>
              <w:rPr>
                <w:rFonts w:hAnsi="Cambria Math"/>
              </w:rPr>
            </w:pPr>
            <w:r>
              <w:rPr>
                <w:rFonts w:hAnsi="Cambria Math" w:hint="eastAsia"/>
              </w:rPr>
              <w:t>（</w:t>
            </w:r>
            <w:r>
              <w:rPr>
                <w:rFonts w:hAnsi="Cambria Math" w:hint="eastAsia"/>
              </w:rPr>
              <w:t>6</w:t>
            </w:r>
            <w:r>
              <w:rPr>
                <w:rFonts w:hAnsi="Cambria Math" w:hint="eastAsia"/>
              </w:rPr>
              <w:t>）</w:t>
            </w:r>
          </w:p>
        </w:tc>
      </w:tr>
    </w:tbl>
    <w:p w14:paraId="480D69AC" w14:textId="77777777" w:rsidR="0094480D" w:rsidRDefault="002B1EA5">
      <w:pPr>
        <w:ind w:firstLine="480"/>
        <w:rPr>
          <w:rFonts w:hAnsi="Cambria Math" w:cs="Cambria Math"/>
          <w:sz w:val="24"/>
          <w:szCs w:val="22"/>
        </w:rPr>
      </w:pPr>
      <w:r>
        <w:rPr>
          <w:rFonts w:hAnsi="Cambria Math" w:cs="Cambria Math" w:hint="eastAsia"/>
          <w:sz w:val="24"/>
          <w:szCs w:val="22"/>
        </w:rPr>
        <w:t>其中，</w:t>
      </w:r>
      <m:oMath>
        <m:sSup>
          <m:sSupPr>
            <m:ctrlPr>
              <w:rPr>
                <w:rFonts w:ascii="Cambria Math" w:hAnsi="Cambria Math" w:cs="Cambria Math"/>
                <w:sz w:val="24"/>
                <w:szCs w:val="22"/>
              </w:rPr>
            </m:ctrlPr>
          </m:sSupPr>
          <m:e>
            <m:r>
              <m:rPr>
                <m:sty m:val="p"/>
              </m:rPr>
              <w:rPr>
                <w:rFonts w:ascii="Cambria Math" w:hAnsi="Cambria Math" w:cs="Cambria Math"/>
                <w:sz w:val="24"/>
                <w:szCs w:val="22"/>
              </w:rPr>
              <m:t>C</m:t>
            </m:r>
          </m:e>
          <m:sup>
            <m:r>
              <m:rPr>
                <m:sty m:val="p"/>
              </m:rPr>
              <w:rPr>
                <w:rFonts w:ascii="Cambria Math" w:hAnsi="Cambria Math" w:cs="Cambria Math"/>
                <w:sz w:val="24"/>
                <w:szCs w:val="22"/>
              </w:rPr>
              <m:t>T</m:t>
            </m:r>
          </m:sup>
        </m:sSup>
      </m:oMath>
      <w:r>
        <w:rPr>
          <w:rFonts w:hAnsi="Cambria Math" w:cs="Cambria Math" w:hint="eastAsia"/>
          <w:sz w:val="24"/>
          <w:szCs w:val="22"/>
        </w:rPr>
        <w:t>为各评价灰类等级化向量的转置。</w:t>
      </w:r>
    </w:p>
    <w:p w14:paraId="459BB8CF" w14:textId="77777777" w:rsidR="0094480D" w:rsidRDefault="002B1EA5">
      <w:pPr>
        <w:pStyle w:val="1"/>
        <w:spacing w:before="156" w:after="156"/>
      </w:pPr>
      <w:r>
        <w:rPr>
          <w:rFonts w:hint="eastAsia"/>
        </w:rPr>
        <w:t>3</w:t>
      </w:r>
      <w:r>
        <w:rPr>
          <w:rFonts w:hint="eastAsia"/>
        </w:rPr>
        <w:t>案例分析</w:t>
      </w:r>
    </w:p>
    <w:p w14:paraId="020DC86D" w14:textId="77777777" w:rsidR="0094480D" w:rsidRDefault="002B1EA5">
      <w:pPr>
        <w:pStyle w:val="2"/>
      </w:pPr>
      <w:r>
        <w:rPr>
          <w:rFonts w:hint="eastAsia"/>
        </w:rPr>
        <w:t>3.1</w:t>
      </w:r>
      <w:r>
        <w:rPr>
          <w:rFonts w:hint="eastAsia"/>
        </w:rPr>
        <w:t>案例概况</w:t>
      </w:r>
    </w:p>
    <w:p w14:paraId="65CEAE4D" w14:textId="77777777" w:rsidR="0094480D" w:rsidRDefault="002B1EA5">
      <w:pPr>
        <w:ind w:firstLine="480"/>
        <w:rPr>
          <w:sz w:val="24"/>
          <w:szCs w:val="22"/>
        </w:rPr>
      </w:pPr>
      <w:r>
        <w:rPr>
          <w:sz w:val="24"/>
          <w:szCs w:val="22"/>
        </w:rPr>
        <w:t>为了实际应用并验证基于灰色系统理论的绿色混凝土搅拌站综合评价模型，</w:t>
      </w:r>
      <w:r>
        <w:rPr>
          <w:rFonts w:hint="eastAsia"/>
          <w:sz w:val="24"/>
          <w:szCs w:val="22"/>
        </w:rPr>
        <w:t>文章</w:t>
      </w:r>
      <w:r>
        <w:rPr>
          <w:sz w:val="24"/>
          <w:szCs w:val="22"/>
        </w:rPr>
        <w:t>选择了位于中国江苏省的一家大型绿色混凝土搅拌站作为案例进行分析</w:t>
      </w:r>
      <w:r>
        <w:rPr>
          <w:rFonts w:hint="eastAsia"/>
          <w:sz w:val="24"/>
          <w:szCs w:val="22"/>
        </w:rPr>
        <w:t>，记</w:t>
      </w:r>
      <w:r>
        <w:rPr>
          <w:rFonts w:hint="eastAsia"/>
          <w:sz w:val="24"/>
          <w:szCs w:val="22"/>
        </w:rPr>
        <w:lastRenderedPageBreak/>
        <w:t>为</w:t>
      </w:r>
      <w:r>
        <w:rPr>
          <w:rFonts w:hint="eastAsia"/>
          <w:sz w:val="24"/>
          <w:szCs w:val="22"/>
        </w:rPr>
        <w:t>A</w:t>
      </w:r>
      <w:r>
        <w:rPr>
          <w:rFonts w:hint="eastAsia"/>
          <w:sz w:val="24"/>
          <w:szCs w:val="22"/>
        </w:rPr>
        <w:t>绿色混凝土搅拌站，</w:t>
      </w:r>
      <w:r>
        <w:rPr>
          <w:sz w:val="24"/>
          <w:szCs w:val="22"/>
        </w:rPr>
        <w:t>该搅拌站采用了先进的混凝土搅拌技术，在运营过程中注重环境保护和资源节约。</w:t>
      </w:r>
      <w:r>
        <w:rPr>
          <w:rFonts w:hint="eastAsia"/>
          <w:sz w:val="24"/>
          <w:szCs w:val="22"/>
        </w:rPr>
        <w:t>A</w:t>
      </w:r>
      <w:r>
        <w:rPr>
          <w:rFonts w:hint="eastAsia"/>
          <w:sz w:val="24"/>
          <w:szCs w:val="22"/>
        </w:rPr>
        <w:t>绿色混凝土</w:t>
      </w:r>
      <w:r>
        <w:rPr>
          <w:sz w:val="24"/>
          <w:szCs w:val="22"/>
        </w:rPr>
        <w:t>搅拌站年生产能力超过</w:t>
      </w:r>
      <w:r>
        <w:rPr>
          <w:sz w:val="24"/>
          <w:szCs w:val="22"/>
        </w:rPr>
        <w:t>100</w:t>
      </w:r>
      <w:r>
        <w:rPr>
          <w:sz w:val="24"/>
          <w:szCs w:val="22"/>
        </w:rPr>
        <w:t>万立方米，拥有多条自动化生产线，能够满足大规模建筑项目的需求。搅拌站采用了先进的自动控制系统，能够精确控制材料配比，保证混凝土质量。还引入了节能和减排技术，如高效除尘系统和废</w:t>
      </w:r>
      <w:r>
        <w:rPr>
          <w:sz w:val="24"/>
          <w:szCs w:val="22"/>
        </w:rPr>
        <w:t>水循环利用设施</w:t>
      </w:r>
      <w:r>
        <w:rPr>
          <w:rFonts w:hint="eastAsia"/>
          <w:sz w:val="24"/>
          <w:szCs w:val="22"/>
        </w:rPr>
        <w:t>，</w:t>
      </w:r>
      <w:r>
        <w:rPr>
          <w:sz w:val="24"/>
          <w:szCs w:val="22"/>
        </w:rPr>
        <w:t>以减轻对周边环境的影响。通过对该搅拌站的综合评价，旨在验证之前构建的综合评价模型在实际应用中的有效性。分析将侧重于评估搅拌站在环境保护、经济效益和社会责任方面的表现，探讨其在可持续发展方面的绩效。为了进行全面</w:t>
      </w:r>
      <w:r>
        <w:rPr>
          <w:rFonts w:hint="eastAsia"/>
          <w:sz w:val="24"/>
          <w:szCs w:val="22"/>
        </w:rPr>
        <w:t>地</w:t>
      </w:r>
      <w:r>
        <w:rPr>
          <w:sz w:val="24"/>
          <w:szCs w:val="22"/>
        </w:rPr>
        <w:t>评价，收集</w:t>
      </w:r>
      <w:r>
        <w:rPr>
          <w:rFonts w:hint="eastAsia"/>
          <w:sz w:val="24"/>
          <w:szCs w:val="22"/>
        </w:rPr>
        <w:t>了</w:t>
      </w:r>
      <w:r>
        <w:rPr>
          <w:sz w:val="24"/>
          <w:szCs w:val="22"/>
        </w:rPr>
        <w:t>该搅拌站过去</w:t>
      </w:r>
      <w:r>
        <w:rPr>
          <w:rFonts w:hint="eastAsia"/>
          <w:sz w:val="24"/>
          <w:szCs w:val="22"/>
        </w:rPr>
        <w:t>三</w:t>
      </w:r>
      <w:r>
        <w:rPr>
          <w:sz w:val="24"/>
          <w:szCs w:val="22"/>
        </w:rPr>
        <w:t>年的相关数据，包括能源消耗记录、废物处理数据、财务报表和社会责任报告等。这些数据将用于计算模型中各指标的实际表现，并结合模型中确定的指标权重进行综合评价分析。</w:t>
      </w:r>
    </w:p>
    <w:p w14:paraId="45019C5D" w14:textId="77777777" w:rsidR="0094480D" w:rsidRDefault="002B1EA5">
      <w:pPr>
        <w:pStyle w:val="2"/>
      </w:pPr>
      <w:r>
        <w:rPr>
          <w:rFonts w:hint="eastAsia"/>
        </w:rPr>
        <w:t>3.2</w:t>
      </w:r>
      <w:r>
        <w:rPr>
          <w:rFonts w:hint="eastAsia"/>
        </w:rPr>
        <w:t>数据分析</w:t>
      </w:r>
    </w:p>
    <w:p w14:paraId="69D864D7" w14:textId="77777777" w:rsidR="0094480D" w:rsidRDefault="002B1EA5">
      <w:pPr>
        <w:ind w:firstLine="560"/>
      </w:pPr>
      <w:r>
        <w:rPr>
          <w:rFonts w:hint="eastAsia"/>
        </w:rPr>
        <w:t>在专家进行指标评分后，得到无量纲化的一级指标矩阵</w:t>
      </w:r>
      <w:r>
        <w:rPr>
          <w:rFonts w:hint="eastAsia"/>
        </w:rPr>
        <w:t>C</w:t>
      </w:r>
      <w:r>
        <w:rPr>
          <w:rFonts w:hint="eastAsia"/>
        </w:rPr>
        <w:t>。如表</w:t>
      </w:r>
      <w:r>
        <w:rPr>
          <w:rFonts w:hint="eastAsia"/>
        </w:rPr>
        <w:t>3</w:t>
      </w:r>
      <w:r>
        <w:rPr>
          <w:rFonts w:hint="eastAsia"/>
        </w:rPr>
        <w:t>所示。</w:t>
      </w:r>
    </w:p>
    <w:p w14:paraId="2DA169C4" w14:textId="77777777" w:rsidR="0094480D" w:rsidRDefault="002B1EA5">
      <w:pPr>
        <w:ind w:firstLine="480"/>
        <w:jc w:val="center"/>
        <w:rPr>
          <w:sz w:val="24"/>
          <w:szCs w:val="22"/>
        </w:rPr>
      </w:pPr>
      <w:r>
        <w:rPr>
          <w:rFonts w:hint="eastAsia"/>
          <w:sz w:val="24"/>
          <w:szCs w:val="22"/>
        </w:rPr>
        <w:t>表</w:t>
      </w:r>
      <w:r>
        <w:rPr>
          <w:rFonts w:hint="eastAsia"/>
          <w:sz w:val="24"/>
          <w:szCs w:val="22"/>
        </w:rPr>
        <w:t xml:space="preserve">3 </w:t>
      </w:r>
      <w:r>
        <w:rPr>
          <w:rFonts w:hint="eastAsia"/>
          <w:sz w:val="24"/>
          <w:szCs w:val="22"/>
        </w:rPr>
        <w:t>一级指标矩阵</w:t>
      </w:r>
      <w:r>
        <w:rPr>
          <w:rFonts w:hint="eastAsia"/>
          <w:sz w:val="24"/>
          <w:szCs w:val="22"/>
        </w:rPr>
        <w:t>C</w:t>
      </w:r>
    </w:p>
    <w:tbl>
      <w:tblPr>
        <w:tblW w:w="4998" w:type="pct"/>
        <w:tblBorders>
          <w:top w:val="single" w:sz="8" w:space="0" w:color="auto"/>
          <w:bottom w:val="single" w:sz="8" w:space="0" w:color="auto"/>
        </w:tblBorders>
        <w:tblLayout w:type="fixed"/>
        <w:tblLook w:val="04A0" w:firstRow="1" w:lastRow="0" w:firstColumn="1" w:lastColumn="0" w:noHBand="0" w:noVBand="1"/>
      </w:tblPr>
      <w:tblGrid>
        <w:gridCol w:w="1802"/>
        <w:gridCol w:w="652"/>
        <w:gridCol w:w="710"/>
        <w:gridCol w:w="651"/>
        <w:gridCol w:w="693"/>
        <w:gridCol w:w="736"/>
        <w:gridCol w:w="743"/>
        <w:gridCol w:w="627"/>
        <w:gridCol w:w="658"/>
        <w:gridCol w:w="618"/>
        <w:gridCol w:w="629"/>
      </w:tblGrid>
      <w:tr w:rsidR="0094480D" w14:paraId="58A343AB" w14:textId="77777777">
        <w:trPr>
          <w:trHeight w:val="348"/>
        </w:trPr>
        <w:tc>
          <w:tcPr>
            <w:tcW w:w="1057" w:type="pct"/>
            <w:vMerge w:val="restart"/>
            <w:tcBorders>
              <w:top w:val="single" w:sz="12" w:space="0" w:color="000000"/>
              <w:bottom w:val="single" w:sz="4" w:space="0" w:color="000000"/>
              <w:tl2br w:val="nil"/>
              <w:tr2bl w:val="nil"/>
            </w:tcBorders>
            <w:shd w:val="clear" w:color="auto" w:fill="FFFFFF"/>
            <w:noWrap/>
            <w:vAlign w:val="center"/>
          </w:tcPr>
          <w:p w14:paraId="24635FF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3942" w:type="pct"/>
            <w:gridSpan w:val="10"/>
            <w:tcBorders>
              <w:top w:val="single" w:sz="12" w:space="0" w:color="000000"/>
              <w:bottom w:val="single" w:sz="4" w:space="0" w:color="000000"/>
              <w:tl2br w:val="nil"/>
              <w:tr2bl w:val="nil"/>
            </w:tcBorders>
            <w:shd w:val="clear" w:color="auto" w:fill="FFFFFF"/>
            <w:noWrap/>
            <w:vAlign w:val="center"/>
          </w:tcPr>
          <w:p w14:paraId="13665A4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专家序号</w:t>
            </w:r>
          </w:p>
        </w:tc>
      </w:tr>
      <w:tr w:rsidR="0094480D" w14:paraId="7557B7F9" w14:textId="77777777">
        <w:trPr>
          <w:trHeight w:val="363"/>
        </w:trPr>
        <w:tc>
          <w:tcPr>
            <w:tcW w:w="1057" w:type="pct"/>
            <w:vMerge/>
            <w:tcBorders>
              <w:top w:val="single" w:sz="4" w:space="0" w:color="000000"/>
              <w:tl2br w:val="nil"/>
              <w:tr2bl w:val="nil"/>
            </w:tcBorders>
            <w:shd w:val="clear" w:color="auto" w:fill="FFFFFF"/>
            <w:noWrap/>
            <w:vAlign w:val="center"/>
          </w:tcPr>
          <w:p w14:paraId="0A67CF17" w14:textId="77777777" w:rsidR="0094480D" w:rsidRDefault="0094480D">
            <w:pPr>
              <w:ind w:firstLine="440"/>
              <w:jc w:val="center"/>
              <w:rPr>
                <w:rFonts w:ascii="宋体" w:hAnsi="宋体" w:cs="宋体"/>
                <w:color w:val="000000"/>
                <w:sz w:val="22"/>
                <w:szCs w:val="22"/>
              </w:rPr>
            </w:pPr>
          </w:p>
        </w:tc>
        <w:tc>
          <w:tcPr>
            <w:tcW w:w="382" w:type="pct"/>
            <w:tcBorders>
              <w:top w:val="single" w:sz="4" w:space="0" w:color="000000"/>
              <w:bottom w:val="nil"/>
            </w:tcBorders>
            <w:shd w:val="clear" w:color="auto" w:fill="FFFFFF"/>
            <w:noWrap/>
            <w:vAlign w:val="center"/>
          </w:tcPr>
          <w:p w14:paraId="4B80624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17" w:type="pct"/>
            <w:tcBorders>
              <w:top w:val="single" w:sz="4" w:space="0" w:color="000000"/>
              <w:bottom w:val="nil"/>
            </w:tcBorders>
            <w:shd w:val="clear" w:color="auto" w:fill="FFFFFF"/>
            <w:noWrap/>
            <w:vAlign w:val="center"/>
          </w:tcPr>
          <w:p w14:paraId="1746E4C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82" w:type="pct"/>
            <w:tcBorders>
              <w:top w:val="single" w:sz="4" w:space="0" w:color="000000"/>
              <w:bottom w:val="nil"/>
            </w:tcBorders>
            <w:shd w:val="clear" w:color="auto" w:fill="FFFFFF"/>
            <w:noWrap/>
            <w:vAlign w:val="center"/>
          </w:tcPr>
          <w:p w14:paraId="15C2AB5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07" w:type="pct"/>
            <w:tcBorders>
              <w:top w:val="single" w:sz="4" w:space="0" w:color="000000"/>
              <w:bottom w:val="nil"/>
            </w:tcBorders>
            <w:shd w:val="clear" w:color="auto" w:fill="FFFFFF"/>
            <w:noWrap/>
            <w:vAlign w:val="center"/>
          </w:tcPr>
          <w:p w14:paraId="6833D94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432" w:type="pct"/>
            <w:tcBorders>
              <w:top w:val="single" w:sz="4" w:space="0" w:color="000000"/>
              <w:bottom w:val="nil"/>
            </w:tcBorders>
            <w:shd w:val="clear" w:color="auto" w:fill="FFFFFF"/>
            <w:noWrap/>
            <w:vAlign w:val="center"/>
          </w:tcPr>
          <w:p w14:paraId="2824881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436" w:type="pct"/>
            <w:tcBorders>
              <w:top w:val="single" w:sz="4" w:space="0" w:color="000000"/>
              <w:bottom w:val="nil"/>
            </w:tcBorders>
            <w:shd w:val="clear" w:color="auto" w:fill="FFFFFF"/>
            <w:noWrap/>
            <w:vAlign w:val="center"/>
          </w:tcPr>
          <w:p w14:paraId="1C858C6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68" w:type="pct"/>
            <w:tcBorders>
              <w:top w:val="single" w:sz="4" w:space="0" w:color="000000"/>
              <w:bottom w:val="nil"/>
            </w:tcBorders>
            <w:shd w:val="clear" w:color="auto" w:fill="FFFFFF"/>
            <w:noWrap/>
            <w:vAlign w:val="center"/>
          </w:tcPr>
          <w:p w14:paraId="4A68588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86" w:type="pct"/>
            <w:tcBorders>
              <w:top w:val="single" w:sz="4" w:space="0" w:color="000000"/>
              <w:bottom w:val="nil"/>
            </w:tcBorders>
            <w:shd w:val="clear" w:color="auto" w:fill="FFFFFF"/>
            <w:noWrap/>
            <w:vAlign w:val="center"/>
          </w:tcPr>
          <w:p w14:paraId="20184E3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63" w:type="pct"/>
            <w:tcBorders>
              <w:top w:val="single" w:sz="4" w:space="0" w:color="000000"/>
              <w:bottom w:val="nil"/>
            </w:tcBorders>
            <w:shd w:val="clear" w:color="auto" w:fill="FFFFFF"/>
            <w:noWrap/>
            <w:vAlign w:val="center"/>
          </w:tcPr>
          <w:p w14:paraId="5F7C74E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66" w:type="pct"/>
            <w:tcBorders>
              <w:top w:val="single" w:sz="4" w:space="0" w:color="000000"/>
              <w:bottom w:val="nil"/>
            </w:tcBorders>
            <w:shd w:val="clear" w:color="auto" w:fill="FFFFFF"/>
            <w:noWrap/>
            <w:vAlign w:val="center"/>
          </w:tcPr>
          <w:p w14:paraId="449DD09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94480D" w14:paraId="6CC5ECD0" w14:textId="77777777">
        <w:trPr>
          <w:trHeight w:val="348"/>
        </w:trPr>
        <w:tc>
          <w:tcPr>
            <w:tcW w:w="1057" w:type="pct"/>
            <w:tcBorders>
              <w:tl2br w:val="nil"/>
              <w:tr2bl w:val="nil"/>
            </w:tcBorders>
            <w:shd w:val="clear" w:color="auto" w:fill="FFFFFF"/>
            <w:vAlign w:val="center"/>
          </w:tcPr>
          <w:p w14:paraId="4139AF1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环境保护</w:t>
            </w:r>
          </w:p>
        </w:tc>
        <w:tc>
          <w:tcPr>
            <w:tcW w:w="382" w:type="pct"/>
            <w:tcBorders>
              <w:top w:val="nil"/>
              <w:tl2br w:val="nil"/>
              <w:tr2bl w:val="nil"/>
            </w:tcBorders>
            <w:shd w:val="clear" w:color="auto" w:fill="FFFFFF"/>
            <w:noWrap/>
            <w:vAlign w:val="center"/>
          </w:tcPr>
          <w:p w14:paraId="5CFFB57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417" w:type="pct"/>
            <w:tcBorders>
              <w:top w:val="nil"/>
              <w:tl2br w:val="nil"/>
              <w:tr2bl w:val="nil"/>
            </w:tcBorders>
            <w:shd w:val="clear" w:color="auto" w:fill="FFFFFF"/>
            <w:noWrap/>
            <w:vAlign w:val="center"/>
          </w:tcPr>
          <w:p w14:paraId="58E260F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82" w:type="pct"/>
            <w:tcBorders>
              <w:top w:val="nil"/>
              <w:tl2br w:val="nil"/>
              <w:tr2bl w:val="nil"/>
            </w:tcBorders>
            <w:shd w:val="clear" w:color="auto" w:fill="FFFFFF"/>
            <w:vAlign w:val="center"/>
          </w:tcPr>
          <w:p w14:paraId="7FAEB46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407" w:type="pct"/>
            <w:tcBorders>
              <w:top w:val="nil"/>
              <w:tl2br w:val="nil"/>
              <w:tr2bl w:val="nil"/>
            </w:tcBorders>
            <w:shd w:val="clear" w:color="auto" w:fill="FFFFFF"/>
            <w:noWrap/>
            <w:vAlign w:val="center"/>
          </w:tcPr>
          <w:p w14:paraId="6C4CAB7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432" w:type="pct"/>
            <w:tcBorders>
              <w:top w:val="nil"/>
              <w:tl2br w:val="nil"/>
              <w:tr2bl w:val="nil"/>
            </w:tcBorders>
            <w:shd w:val="clear" w:color="auto" w:fill="FFFFFF"/>
            <w:noWrap/>
            <w:vAlign w:val="center"/>
          </w:tcPr>
          <w:p w14:paraId="545BB7D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36" w:type="pct"/>
            <w:tcBorders>
              <w:top w:val="nil"/>
              <w:tl2br w:val="nil"/>
              <w:tr2bl w:val="nil"/>
            </w:tcBorders>
            <w:shd w:val="clear" w:color="auto" w:fill="FFFFFF"/>
            <w:noWrap/>
            <w:vAlign w:val="center"/>
          </w:tcPr>
          <w:p w14:paraId="5DA8C6C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368" w:type="pct"/>
            <w:tcBorders>
              <w:top w:val="nil"/>
              <w:tl2br w:val="nil"/>
              <w:tr2bl w:val="nil"/>
            </w:tcBorders>
            <w:shd w:val="clear" w:color="auto" w:fill="FFFFFF"/>
            <w:noWrap/>
            <w:vAlign w:val="center"/>
          </w:tcPr>
          <w:p w14:paraId="2EDF0DB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c>
          <w:tcPr>
            <w:tcW w:w="386" w:type="pct"/>
            <w:tcBorders>
              <w:top w:val="nil"/>
              <w:tl2br w:val="nil"/>
              <w:tr2bl w:val="nil"/>
            </w:tcBorders>
            <w:shd w:val="clear" w:color="auto" w:fill="FFFFFF"/>
            <w:noWrap/>
            <w:vAlign w:val="center"/>
          </w:tcPr>
          <w:p w14:paraId="3E1F347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363" w:type="pct"/>
            <w:tcBorders>
              <w:top w:val="nil"/>
              <w:tl2br w:val="nil"/>
              <w:tr2bl w:val="nil"/>
            </w:tcBorders>
            <w:shd w:val="clear" w:color="auto" w:fill="FFFFFF"/>
            <w:noWrap/>
            <w:vAlign w:val="center"/>
          </w:tcPr>
          <w:p w14:paraId="4E2CE8D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66" w:type="pct"/>
            <w:tcBorders>
              <w:top w:val="nil"/>
              <w:tl2br w:val="nil"/>
              <w:tr2bl w:val="nil"/>
            </w:tcBorders>
            <w:shd w:val="clear" w:color="auto" w:fill="FFFFFF"/>
            <w:noWrap/>
            <w:vAlign w:val="center"/>
          </w:tcPr>
          <w:p w14:paraId="2BEE372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r>
      <w:tr w:rsidR="0094480D" w14:paraId="01941F34" w14:textId="77777777">
        <w:trPr>
          <w:trHeight w:val="348"/>
        </w:trPr>
        <w:tc>
          <w:tcPr>
            <w:tcW w:w="1057" w:type="pct"/>
            <w:tcBorders>
              <w:tl2br w:val="nil"/>
              <w:tr2bl w:val="nil"/>
            </w:tcBorders>
            <w:shd w:val="clear" w:color="auto" w:fill="FFFFFF"/>
            <w:vAlign w:val="center"/>
          </w:tcPr>
          <w:p w14:paraId="001AE32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经济效益</w:t>
            </w:r>
          </w:p>
        </w:tc>
        <w:tc>
          <w:tcPr>
            <w:tcW w:w="382" w:type="pct"/>
            <w:tcBorders>
              <w:tl2br w:val="nil"/>
              <w:tr2bl w:val="nil"/>
            </w:tcBorders>
            <w:shd w:val="clear" w:color="auto" w:fill="FFFFFF"/>
            <w:noWrap/>
            <w:vAlign w:val="center"/>
          </w:tcPr>
          <w:p w14:paraId="2287E3F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17" w:type="pct"/>
            <w:tcBorders>
              <w:tl2br w:val="nil"/>
              <w:tr2bl w:val="nil"/>
            </w:tcBorders>
            <w:shd w:val="clear" w:color="auto" w:fill="FFFFFF"/>
            <w:noWrap/>
            <w:vAlign w:val="center"/>
          </w:tcPr>
          <w:p w14:paraId="5241746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382" w:type="pct"/>
            <w:tcBorders>
              <w:tl2br w:val="nil"/>
              <w:tr2bl w:val="nil"/>
            </w:tcBorders>
            <w:shd w:val="clear" w:color="auto" w:fill="FFFFFF"/>
            <w:vAlign w:val="center"/>
          </w:tcPr>
          <w:p w14:paraId="341BEE2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07" w:type="pct"/>
            <w:tcBorders>
              <w:tl2br w:val="nil"/>
              <w:tr2bl w:val="nil"/>
            </w:tcBorders>
            <w:shd w:val="clear" w:color="auto" w:fill="FFFFFF"/>
            <w:noWrap/>
            <w:vAlign w:val="center"/>
          </w:tcPr>
          <w:p w14:paraId="2E8B703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c>
          <w:tcPr>
            <w:tcW w:w="432" w:type="pct"/>
            <w:tcBorders>
              <w:tl2br w:val="nil"/>
              <w:tr2bl w:val="nil"/>
            </w:tcBorders>
            <w:shd w:val="clear" w:color="auto" w:fill="FFFFFF"/>
            <w:noWrap/>
            <w:vAlign w:val="center"/>
          </w:tcPr>
          <w:p w14:paraId="365C83A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436" w:type="pct"/>
            <w:tcBorders>
              <w:tl2br w:val="nil"/>
              <w:tr2bl w:val="nil"/>
            </w:tcBorders>
            <w:shd w:val="clear" w:color="auto" w:fill="FFFFFF"/>
            <w:noWrap/>
            <w:vAlign w:val="center"/>
          </w:tcPr>
          <w:p w14:paraId="1632CAA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68" w:type="pct"/>
            <w:tcBorders>
              <w:tl2br w:val="nil"/>
              <w:tr2bl w:val="nil"/>
            </w:tcBorders>
            <w:shd w:val="clear" w:color="auto" w:fill="FFFFFF"/>
            <w:noWrap/>
            <w:vAlign w:val="center"/>
          </w:tcPr>
          <w:p w14:paraId="3595124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386" w:type="pct"/>
            <w:tcBorders>
              <w:tl2br w:val="nil"/>
              <w:tr2bl w:val="nil"/>
            </w:tcBorders>
            <w:shd w:val="clear" w:color="auto" w:fill="FFFFFF"/>
            <w:noWrap/>
            <w:vAlign w:val="center"/>
          </w:tcPr>
          <w:p w14:paraId="32EA1A2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363" w:type="pct"/>
            <w:tcBorders>
              <w:tl2br w:val="nil"/>
              <w:tr2bl w:val="nil"/>
            </w:tcBorders>
            <w:shd w:val="clear" w:color="auto" w:fill="FFFFFF"/>
            <w:noWrap/>
            <w:vAlign w:val="center"/>
          </w:tcPr>
          <w:p w14:paraId="59FB5D5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c>
          <w:tcPr>
            <w:tcW w:w="366" w:type="pct"/>
            <w:tcBorders>
              <w:tl2br w:val="nil"/>
              <w:tr2bl w:val="nil"/>
            </w:tcBorders>
            <w:shd w:val="clear" w:color="auto" w:fill="FFFFFF"/>
            <w:noWrap/>
            <w:vAlign w:val="center"/>
          </w:tcPr>
          <w:p w14:paraId="1B39558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94480D" w14:paraId="0D199AF9" w14:textId="77777777">
        <w:trPr>
          <w:trHeight w:val="363"/>
        </w:trPr>
        <w:tc>
          <w:tcPr>
            <w:tcW w:w="1057" w:type="pct"/>
            <w:tcBorders>
              <w:bottom w:val="single" w:sz="12" w:space="0" w:color="000000"/>
              <w:tl2br w:val="nil"/>
              <w:tr2bl w:val="nil"/>
            </w:tcBorders>
            <w:shd w:val="clear" w:color="auto" w:fill="FFFFFF"/>
            <w:vAlign w:val="center"/>
          </w:tcPr>
          <w:p w14:paraId="2A7DAF9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社会责任</w:t>
            </w:r>
          </w:p>
        </w:tc>
        <w:tc>
          <w:tcPr>
            <w:tcW w:w="382" w:type="pct"/>
            <w:tcBorders>
              <w:bottom w:val="single" w:sz="12" w:space="0" w:color="000000"/>
              <w:tl2br w:val="nil"/>
              <w:tr2bl w:val="nil"/>
            </w:tcBorders>
            <w:shd w:val="clear" w:color="auto" w:fill="FFFFFF"/>
            <w:noWrap/>
            <w:vAlign w:val="center"/>
          </w:tcPr>
          <w:p w14:paraId="32C6C37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417" w:type="pct"/>
            <w:tcBorders>
              <w:bottom w:val="single" w:sz="12" w:space="0" w:color="000000"/>
              <w:tl2br w:val="nil"/>
              <w:tr2bl w:val="nil"/>
            </w:tcBorders>
            <w:shd w:val="clear" w:color="auto" w:fill="FFFFFF"/>
            <w:noWrap/>
            <w:vAlign w:val="center"/>
          </w:tcPr>
          <w:p w14:paraId="0E45C91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c>
          <w:tcPr>
            <w:tcW w:w="382" w:type="pct"/>
            <w:tcBorders>
              <w:bottom w:val="single" w:sz="12" w:space="0" w:color="000000"/>
              <w:tl2br w:val="nil"/>
              <w:tr2bl w:val="nil"/>
            </w:tcBorders>
            <w:shd w:val="clear" w:color="auto" w:fill="FFFFFF"/>
            <w:vAlign w:val="center"/>
          </w:tcPr>
          <w:p w14:paraId="26406E8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407" w:type="pct"/>
            <w:tcBorders>
              <w:bottom w:val="single" w:sz="12" w:space="0" w:color="000000"/>
              <w:tl2br w:val="nil"/>
              <w:tr2bl w:val="nil"/>
            </w:tcBorders>
            <w:shd w:val="clear" w:color="auto" w:fill="FFFFFF"/>
            <w:noWrap/>
            <w:vAlign w:val="center"/>
          </w:tcPr>
          <w:p w14:paraId="10DD1A3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32" w:type="pct"/>
            <w:tcBorders>
              <w:bottom w:val="single" w:sz="12" w:space="0" w:color="000000"/>
              <w:tl2br w:val="nil"/>
              <w:tr2bl w:val="nil"/>
            </w:tcBorders>
            <w:shd w:val="clear" w:color="auto" w:fill="FFFFFF"/>
            <w:noWrap/>
            <w:vAlign w:val="center"/>
          </w:tcPr>
          <w:p w14:paraId="0D43275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36" w:type="pct"/>
            <w:tcBorders>
              <w:bottom w:val="single" w:sz="12" w:space="0" w:color="000000"/>
              <w:tl2br w:val="nil"/>
              <w:tr2bl w:val="nil"/>
            </w:tcBorders>
            <w:shd w:val="clear" w:color="auto" w:fill="FFFFFF"/>
            <w:noWrap/>
            <w:vAlign w:val="center"/>
          </w:tcPr>
          <w:p w14:paraId="644888F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368" w:type="pct"/>
            <w:tcBorders>
              <w:bottom w:val="single" w:sz="12" w:space="0" w:color="000000"/>
              <w:tl2br w:val="nil"/>
              <w:tr2bl w:val="nil"/>
            </w:tcBorders>
            <w:shd w:val="clear" w:color="auto" w:fill="FFFFFF"/>
            <w:noWrap/>
            <w:vAlign w:val="center"/>
          </w:tcPr>
          <w:p w14:paraId="4DBB137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c>
          <w:tcPr>
            <w:tcW w:w="386" w:type="pct"/>
            <w:tcBorders>
              <w:bottom w:val="single" w:sz="12" w:space="0" w:color="000000"/>
              <w:tl2br w:val="nil"/>
              <w:tr2bl w:val="nil"/>
            </w:tcBorders>
            <w:shd w:val="clear" w:color="auto" w:fill="FFFFFF"/>
            <w:noWrap/>
            <w:vAlign w:val="center"/>
          </w:tcPr>
          <w:p w14:paraId="1CE72A3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63" w:type="pct"/>
            <w:tcBorders>
              <w:bottom w:val="single" w:sz="12" w:space="0" w:color="000000"/>
              <w:tl2br w:val="nil"/>
              <w:tr2bl w:val="nil"/>
            </w:tcBorders>
            <w:shd w:val="clear" w:color="auto" w:fill="FFFFFF"/>
            <w:noWrap/>
            <w:vAlign w:val="center"/>
          </w:tcPr>
          <w:p w14:paraId="6B4AE28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c>
          <w:tcPr>
            <w:tcW w:w="366" w:type="pct"/>
            <w:tcBorders>
              <w:bottom w:val="single" w:sz="12" w:space="0" w:color="000000"/>
              <w:tl2br w:val="nil"/>
              <w:tr2bl w:val="nil"/>
            </w:tcBorders>
            <w:shd w:val="clear" w:color="auto" w:fill="FFFFFF"/>
            <w:noWrap/>
            <w:vAlign w:val="center"/>
          </w:tcPr>
          <w:p w14:paraId="32E16CD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0.9</w:t>
            </w:r>
          </w:p>
        </w:tc>
      </w:tr>
    </w:tbl>
    <w:p w14:paraId="2A5B09A4" w14:textId="77777777" w:rsidR="0094480D" w:rsidRDefault="002B1EA5">
      <w:pPr>
        <w:ind w:firstLine="480"/>
        <w:rPr>
          <w:sz w:val="24"/>
          <w:szCs w:val="22"/>
        </w:rPr>
      </w:pPr>
      <w:r>
        <w:rPr>
          <w:rFonts w:hint="eastAsia"/>
          <w:sz w:val="24"/>
          <w:szCs w:val="22"/>
        </w:rPr>
        <w:t>使用</w:t>
      </w:r>
      <w:r>
        <w:rPr>
          <w:rFonts w:hint="eastAsia"/>
          <w:sz w:val="24"/>
          <w:szCs w:val="22"/>
        </w:rPr>
        <w:t>SPSS</w:t>
      </w:r>
      <w:r>
        <w:rPr>
          <w:rFonts w:hint="eastAsia"/>
          <w:sz w:val="24"/>
          <w:szCs w:val="22"/>
        </w:rPr>
        <w:t>软件，使用构建的模型计算一级指标关联度及权重。如表</w:t>
      </w:r>
      <w:r>
        <w:rPr>
          <w:rFonts w:hint="eastAsia"/>
          <w:sz w:val="24"/>
          <w:szCs w:val="22"/>
        </w:rPr>
        <w:t>4</w:t>
      </w:r>
      <w:r>
        <w:rPr>
          <w:rFonts w:hint="eastAsia"/>
          <w:sz w:val="24"/>
          <w:szCs w:val="22"/>
        </w:rPr>
        <w:t>所示：</w:t>
      </w:r>
    </w:p>
    <w:p w14:paraId="018DA17D" w14:textId="77777777" w:rsidR="0094480D" w:rsidRDefault="002B1EA5">
      <w:pPr>
        <w:ind w:firstLineChars="0" w:firstLine="0"/>
        <w:jc w:val="center"/>
        <w:rPr>
          <w:sz w:val="24"/>
          <w:szCs w:val="22"/>
        </w:rPr>
      </w:pPr>
      <w:r>
        <w:rPr>
          <w:rFonts w:hint="eastAsia"/>
          <w:sz w:val="24"/>
          <w:szCs w:val="22"/>
        </w:rPr>
        <w:t>表</w:t>
      </w:r>
      <w:r>
        <w:rPr>
          <w:rFonts w:hint="eastAsia"/>
          <w:sz w:val="24"/>
          <w:szCs w:val="22"/>
        </w:rPr>
        <w:t xml:space="preserve">4 </w:t>
      </w:r>
      <w:r>
        <w:rPr>
          <w:rFonts w:hint="eastAsia"/>
          <w:sz w:val="24"/>
          <w:szCs w:val="22"/>
        </w:rPr>
        <w:t>一级指标关联度及权重</w:t>
      </w:r>
    </w:p>
    <w:tbl>
      <w:tblPr>
        <w:tblW w:w="4998" w:type="pct"/>
        <w:tblBorders>
          <w:top w:val="single" w:sz="8" w:space="0" w:color="auto"/>
          <w:bottom w:val="single" w:sz="8" w:space="0" w:color="auto"/>
        </w:tblBorders>
        <w:tblLook w:val="04A0" w:firstRow="1" w:lastRow="0" w:firstColumn="1" w:lastColumn="0" w:noHBand="0" w:noVBand="1"/>
      </w:tblPr>
      <w:tblGrid>
        <w:gridCol w:w="2129"/>
        <w:gridCol w:w="2130"/>
        <w:gridCol w:w="2130"/>
        <w:gridCol w:w="2130"/>
      </w:tblGrid>
      <w:tr w:rsidR="0094480D" w14:paraId="013C2377" w14:textId="77777777">
        <w:trPr>
          <w:trHeight w:val="624"/>
        </w:trPr>
        <w:tc>
          <w:tcPr>
            <w:tcW w:w="1249" w:type="pct"/>
            <w:tcBorders>
              <w:top w:val="single" w:sz="12" w:space="0" w:color="000000"/>
              <w:bottom w:val="single" w:sz="4" w:space="0" w:color="000000"/>
              <w:tl2br w:val="nil"/>
            </w:tcBorders>
            <w:shd w:val="clear" w:color="auto" w:fill="FFFFFF"/>
            <w:noWrap/>
            <w:vAlign w:val="center"/>
          </w:tcPr>
          <w:p w14:paraId="3178E1C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1250" w:type="pct"/>
            <w:tcBorders>
              <w:top w:val="single" w:sz="12" w:space="0" w:color="000000"/>
              <w:bottom w:val="single" w:sz="4" w:space="0" w:color="000000"/>
            </w:tcBorders>
            <w:shd w:val="clear" w:color="auto" w:fill="FFFFFF"/>
            <w:vAlign w:val="center"/>
          </w:tcPr>
          <w:p w14:paraId="057A269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环境保护</w:t>
            </w:r>
          </w:p>
        </w:tc>
        <w:tc>
          <w:tcPr>
            <w:tcW w:w="1250" w:type="pct"/>
            <w:tcBorders>
              <w:top w:val="single" w:sz="12" w:space="0" w:color="000000"/>
              <w:bottom w:val="single" w:sz="4" w:space="0" w:color="000000"/>
            </w:tcBorders>
            <w:shd w:val="clear" w:color="auto" w:fill="FFFFFF"/>
            <w:vAlign w:val="center"/>
          </w:tcPr>
          <w:p w14:paraId="3A278D5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经济效益</w:t>
            </w:r>
          </w:p>
        </w:tc>
        <w:tc>
          <w:tcPr>
            <w:tcW w:w="1250" w:type="pct"/>
            <w:tcBorders>
              <w:top w:val="single" w:sz="12" w:space="0" w:color="000000"/>
              <w:bottom w:val="single" w:sz="4" w:space="0" w:color="000000"/>
            </w:tcBorders>
            <w:shd w:val="clear" w:color="auto" w:fill="FFFFFF"/>
            <w:vAlign w:val="center"/>
          </w:tcPr>
          <w:p w14:paraId="1A671FD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社会责任</w:t>
            </w:r>
          </w:p>
        </w:tc>
      </w:tr>
      <w:tr w:rsidR="0094480D" w14:paraId="0DC85A85" w14:textId="77777777">
        <w:trPr>
          <w:trHeight w:val="348"/>
        </w:trPr>
        <w:tc>
          <w:tcPr>
            <w:tcW w:w="1249" w:type="pct"/>
            <w:tcBorders>
              <w:top w:val="single" w:sz="4" w:space="0" w:color="000000"/>
              <w:tl2br w:val="nil"/>
              <w:tr2bl w:val="nil"/>
            </w:tcBorders>
            <w:shd w:val="clear" w:color="auto" w:fill="FFFFFF"/>
            <w:noWrap/>
            <w:vAlign w:val="center"/>
          </w:tcPr>
          <w:p w14:paraId="7B2948D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关联度</w:t>
            </w:r>
          </w:p>
        </w:tc>
        <w:tc>
          <w:tcPr>
            <w:tcW w:w="1250" w:type="pct"/>
            <w:tcBorders>
              <w:top w:val="single" w:sz="4" w:space="0" w:color="000000"/>
              <w:tl2br w:val="nil"/>
              <w:tr2bl w:val="nil"/>
            </w:tcBorders>
            <w:shd w:val="clear" w:color="auto" w:fill="FFFFFF"/>
            <w:vAlign w:val="center"/>
          </w:tcPr>
          <w:p w14:paraId="79DC84A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0.7261</w:t>
            </w:r>
          </w:p>
        </w:tc>
        <w:tc>
          <w:tcPr>
            <w:tcW w:w="1250" w:type="pct"/>
            <w:tcBorders>
              <w:top w:val="single" w:sz="4" w:space="0" w:color="000000"/>
              <w:tl2br w:val="nil"/>
              <w:tr2bl w:val="nil"/>
            </w:tcBorders>
            <w:shd w:val="clear" w:color="auto" w:fill="FFFFFF"/>
            <w:noWrap/>
            <w:vAlign w:val="center"/>
          </w:tcPr>
          <w:p w14:paraId="1BD9B53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0.6731</w:t>
            </w:r>
          </w:p>
        </w:tc>
        <w:tc>
          <w:tcPr>
            <w:tcW w:w="1250" w:type="pct"/>
            <w:tcBorders>
              <w:top w:val="single" w:sz="4" w:space="0" w:color="000000"/>
              <w:tl2br w:val="nil"/>
              <w:tr2bl w:val="nil"/>
            </w:tcBorders>
            <w:shd w:val="clear" w:color="auto" w:fill="FFFFFF"/>
            <w:noWrap/>
            <w:vAlign w:val="center"/>
          </w:tcPr>
          <w:p w14:paraId="0A08C70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0.6802</w:t>
            </w:r>
          </w:p>
        </w:tc>
      </w:tr>
      <w:tr w:rsidR="0094480D" w14:paraId="59DF205E" w14:textId="77777777">
        <w:trPr>
          <w:trHeight w:val="348"/>
        </w:trPr>
        <w:tc>
          <w:tcPr>
            <w:tcW w:w="1249" w:type="pct"/>
            <w:tcBorders>
              <w:bottom w:val="single" w:sz="12" w:space="0" w:color="000000"/>
              <w:tl2br w:val="nil"/>
              <w:tr2bl w:val="nil"/>
            </w:tcBorders>
            <w:shd w:val="clear" w:color="auto" w:fill="FFFFFF"/>
            <w:noWrap/>
            <w:vAlign w:val="center"/>
          </w:tcPr>
          <w:p w14:paraId="5A45674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权重</w:t>
            </w:r>
          </w:p>
        </w:tc>
        <w:tc>
          <w:tcPr>
            <w:tcW w:w="1250" w:type="pct"/>
            <w:tcBorders>
              <w:bottom w:val="single" w:sz="12" w:space="0" w:color="000000"/>
              <w:tl2br w:val="nil"/>
              <w:tr2bl w:val="nil"/>
            </w:tcBorders>
            <w:shd w:val="clear" w:color="auto" w:fill="FFFFFF"/>
            <w:vAlign w:val="center"/>
          </w:tcPr>
          <w:p w14:paraId="3397C2C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0.3912</w:t>
            </w:r>
          </w:p>
        </w:tc>
        <w:tc>
          <w:tcPr>
            <w:tcW w:w="1250" w:type="pct"/>
            <w:tcBorders>
              <w:bottom w:val="single" w:sz="12" w:space="0" w:color="000000"/>
              <w:tl2br w:val="nil"/>
              <w:tr2bl w:val="nil"/>
            </w:tcBorders>
            <w:shd w:val="clear" w:color="auto" w:fill="FFFFFF"/>
            <w:noWrap/>
            <w:vAlign w:val="center"/>
          </w:tcPr>
          <w:p w14:paraId="6018C1D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0.3017</w:t>
            </w:r>
          </w:p>
        </w:tc>
        <w:tc>
          <w:tcPr>
            <w:tcW w:w="1250" w:type="pct"/>
            <w:tcBorders>
              <w:bottom w:val="single" w:sz="12" w:space="0" w:color="000000"/>
              <w:tl2br w:val="nil"/>
              <w:tr2bl w:val="nil"/>
            </w:tcBorders>
            <w:shd w:val="clear" w:color="auto" w:fill="FFFFFF"/>
            <w:noWrap/>
            <w:vAlign w:val="center"/>
          </w:tcPr>
          <w:p w14:paraId="30D0EB4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0.3071</w:t>
            </w:r>
          </w:p>
        </w:tc>
      </w:tr>
    </w:tbl>
    <w:p w14:paraId="5FE98F9C" w14:textId="77777777" w:rsidR="0094480D" w:rsidRDefault="002B1EA5">
      <w:pPr>
        <w:ind w:firstLine="480"/>
        <w:rPr>
          <w:rFonts w:hAnsi="Cambria Math"/>
          <w:sz w:val="24"/>
          <w:szCs w:val="22"/>
        </w:rPr>
      </w:pPr>
      <w:r>
        <w:rPr>
          <w:rFonts w:hint="eastAsia"/>
          <w:sz w:val="24"/>
          <w:szCs w:val="22"/>
        </w:rPr>
        <w:t>同理，在专家进行指标评分后，得到无量纲化的二级指标矩阵，得到差异矩阵</w:t>
      </w:r>
      <m:oMath>
        <m:r>
          <m:rPr>
            <m:sty m:val="p"/>
          </m:rPr>
          <w:rPr>
            <w:rFonts w:ascii="Cambria Math" w:hAnsi="Cambria Math"/>
            <w:sz w:val="24"/>
            <w:szCs w:val="22"/>
          </w:rPr>
          <m:t>∆</m:t>
        </m:r>
      </m:oMath>
      <w:r>
        <w:rPr>
          <w:rFonts w:hAnsi="Cambria Math" w:hint="eastAsia"/>
          <w:sz w:val="24"/>
          <w:szCs w:val="22"/>
        </w:rPr>
        <w:t>，如表</w:t>
      </w:r>
      <w:r>
        <w:rPr>
          <w:rFonts w:hAnsi="Cambria Math" w:hint="eastAsia"/>
          <w:sz w:val="24"/>
          <w:szCs w:val="22"/>
        </w:rPr>
        <w:t>5</w:t>
      </w:r>
      <w:r>
        <w:rPr>
          <w:rFonts w:hAnsi="Cambria Math" w:hint="eastAsia"/>
          <w:sz w:val="24"/>
          <w:szCs w:val="22"/>
        </w:rPr>
        <w:t>所示。</w:t>
      </w:r>
    </w:p>
    <w:p w14:paraId="1E374F3B" w14:textId="77777777" w:rsidR="0094480D" w:rsidRDefault="0094480D">
      <w:pPr>
        <w:ind w:firstLineChars="0" w:firstLine="0"/>
        <w:jc w:val="center"/>
        <w:rPr>
          <w:rFonts w:hAnsi="Cambria Math"/>
          <w:sz w:val="24"/>
          <w:szCs w:val="22"/>
        </w:rPr>
      </w:pPr>
    </w:p>
    <w:p w14:paraId="4AE75211" w14:textId="77777777" w:rsidR="0094480D" w:rsidRDefault="002B1EA5">
      <w:pPr>
        <w:ind w:firstLineChars="0" w:firstLine="0"/>
        <w:jc w:val="center"/>
        <w:rPr>
          <w:rFonts w:hAnsi="Cambria Math"/>
          <w:sz w:val="24"/>
          <w:szCs w:val="22"/>
        </w:rPr>
      </w:pPr>
      <w:r>
        <w:rPr>
          <w:rFonts w:hAnsi="Cambria Math" w:hint="eastAsia"/>
          <w:sz w:val="24"/>
          <w:szCs w:val="22"/>
        </w:rPr>
        <w:lastRenderedPageBreak/>
        <w:t>表</w:t>
      </w:r>
      <w:r>
        <w:rPr>
          <w:rFonts w:hAnsi="Cambria Math" w:hint="eastAsia"/>
          <w:sz w:val="24"/>
          <w:szCs w:val="22"/>
        </w:rPr>
        <w:t xml:space="preserve">5 </w:t>
      </w:r>
      <w:r>
        <w:rPr>
          <w:rFonts w:hAnsi="Cambria Math" w:hint="eastAsia"/>
          <w:sz w:val="24"/>
          <w:szCs w:val="22"/>
        </w:rPr>
        <w:t>二级指标差异矩阵</w:t>
      </w:r>
    </w:p>
    <w:tbl>
      <w:tblPr>
        <w:tblW w:w="5000" w:type="pct"/>
        <w:tblBorders>
          <w:top w:val="single" w:sz="8" w:space="0" w:color="auto"/>
          <w:bottom w:val="single" w:sz="8" w:space="0" w:color="auto"/>
        </w:tblBorders>
        <w:tblLayout w:type="fixed"/>
        <w:tblLook w:val="04A0" w:firstRow="1" w:lastRow="0" w:firstColumn="1" w:lastColumn="0" w:noHBand="0" w:noVBand="1"/>
      </w:tblPr>
      <w:tblGrid>
        <w:gridCol w:w="2076"/>
        <w:gridCol w:w="677"/>
        <w:gridCol w:w="643"/>
        <w:gridCol w:w="643"/>
        <w:gridCol w:w="608"/>
        <w:gridCol w:w="643"/>
        <w:gridCol w:w="590"/>
        <w:gridCol w:w="668"/>
        <w:gridCol w:w="632"/>
        <w:gridCol w:w="677"/>
        <w:gridCol w:w="665"/>
      </w:tblGrid>
      <w:tr w:rsidR="0094480D" w14:paraId="5F4ABFB2" w14:textId="77777777">
        <w:trPr>
          <w:trHeight w:val="348"/>
        </w:trPr>
        <w:tc>
          <w:tcPr>
            <w:tcW w:w="1218" w:type="pct"/>
            <w:vMerge w:val="restart"/>
            <w:tcBorders>
              <w:top w:val="single" w:sz="12" w:space="0" w:color="000000"/>
              <w:bottom w:val="single" w:sz="4" w:space="0" w:color="000000"/>
              <w:tl2br w:val="nil"/>
            </w:tcBorders>
            <w:shd w:val="clear" w:color="auto" w:fill="FFFFFF"/>
            <w:noWrap/>
            <w:vAlign w:val="center"/>
          </w:tcPr>
          <w:p w14:paraId="2744228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3781" w:type="pct"/>
            <w:gridSpan w:val="10"/>
            <w:tcBorders>
              <w:top w:val="single" w:sz="12" w:space="0" w:color="000000"/>
              <w:bottom w:val="single" w:sz="4" w:space="0" w:color="000000"/>
            </w:tcBorders>
            <w:shd w:val="clear" w:color="auto" w:fill="FFFFFF"/>
            <w:noWrap/>
            <w:vAlign w:val="center"/>
          </w:tcPr>
          <w:p w14:paraId="7BED726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专家序号</w:t>
            </w:r>
          </w:p>
        </w:tc>
      </w:tr>
      <w:tr w:rsidR="0094480D" w14:paraId="3AE7170E" w14:textId="77777777">
        <w:trPr>
          <w:trHeight w:val="348"/>
        </w:trPr>
        <w:tc>
          <w:tcPr>
            <w:tcW w:w="1218" w:type="pct"/>
            <w:vMerge/>
            <w:tcBorders>
              <w:top w:val="single" w:sz="4" w:space="0" w:color="000000"/>
              <w:bottom w:val="nil"/>
            </w:tcBorders>
            <w:shd w:val="clear" w:color="auto" w:fill="FFFFFF"/>
            <w:noWrap/>
            <w:vAlign w:val="center"/>
          </w:tcPr>
          <w:p w14:paraId="51A8E741" w14:textId="77777777" w:rsidR="0094480D" w:rsidRDefault="0094480D">
            <w:pPr>
              <w:ind w:firstLine="440"/>
              <w:jc w:val="center"/>
              <w:rPr>
                <w:rFonts w:ascii="宋体" w:hAnsi="宋体" w:cs="宋体"/>
                <w:color w:val="000000"/>
                <w:sz w:val="22"/>
                <w:szCs w:val="22"/>
              </w:rPr>
            </w:pPr>
          </w:p>
        </w:tc>
        <w:tc>
          <w:tcPr>
            <w:tcW w:w="397" w:type="pct"/>
            <w:tcBorders>
              <w:top w:val="single" w:sz="4" w:space="0" w:color="000000"/>
              <w:bottom w:val="nil"/>
            </w:tcBorders>
            <w:shd w:val="clear" w:color="auto" w:fill="FFFFFF"/>
            <w:noWrap/>
            <w:vAlign w:val="center"/>
          </w:tcPr>
          <w:p w14:paraId="57BC8F6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77" w:type="pct"/>
            <w:tcBorders>
              <w:top w:val="single" w:sz="4" w:space="0" w:color="000000"/>
              <w:bottom w:val="nil"/>
            </w:tcBorders>
            <w:shd w:val="clear" w:color="auto" w:fill="FFFFFF"/>
            <w:noWrap/>
            <w:vAlign w:val="center"/>
          </w:tcPr>
          <w:p w14:paraId="77D6B77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77" w:type="pct"/>
            <w:tcBorders>
              <w:top w:val="single" w:sz="4" w:space="0" w:color="000000"/>
              <w:bottom w:val="nil"/>
            </w:tcBorders>
            <w:shd w:val="clear" w:color="auto" w:fill="FFFFFF"/>
            <w:noWrap/>
            <w:vAlign w:val="center"/>
          </w:tcPr>
          <w:p w14:paraId="03482D0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57" w:type="pct"/>
            <w:tcBorders>
              <w:top w:val="single" w:sz="4" w:space="0" w:color="000000"/>
              <w:bottom w:val="nil"/>
            </w:tcBorders>
            <w:shd w:val="clear" w:color="auto" w:fill="FFFFFF"/>
            <w:noWrap/>
            <w:vAlign w:val="center"/>
          </w:tcPr>
          <w:p w14:paraId="02F49B1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77" w:type="pct"/>
            <w:tcBorders>
              <w:top w:val="single" w:sz="4" w:space="0" w:color="000000"/>
              <w:bottom w:val="nil"/>
            </w:tcBorders>
            <w:shd w:val="clear" w:color="auto" w:fill="FFFFFF"/>
            <w:noWrap/>
            <w:vAlign w:val="center"/>
          </w:tcPr>
          <w:p w14:paraId="7CEEC5F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46" w:type="pct"/>
            <w:tcBorders>
              <w:top w:val="single" w:sz="4" w:space="0" w:color="000000"/>
              <w:bottom w:val="nil"/>
            </w:tcBorders>
            <w:shd w:val="clear" w:color="auto" w:fill="FFFFFF"/>
            <w:noWrap/>
            <w:vAlign w:val="center"/>
          </w:tcPr>
          <w:p w14:paraId="6F2E0BF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92" w:type="pct"/>
            <w:tcBorders>
              <w:top w:val="single" w:sz="4" w:space="0" w:color="000000"/>
              <w:bottom w:val="nil"/>
            </w:tcBorders>
            <w:shd w:val="clear" w:color="auto" w:fill="FFFFFF"/>
            <w:noWrap/>
            <w:vAlign w:val="center"/>
          </w:tcPr>
          <w:p w14:paraId="548ECB2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71" w:type="pct"/>
            <w:tcBorders>
              <w:top w:val="single" w:sz="4" w:space="0" w:color="000000"/>
              <w:bottom w:val="nil"/>
            </w:tcBorders>
            <w:shd w:val="clear" w:color="auto" w:fill="FFFFFF"/>
            <w:noWrap/>
            <w:vAlign w:val="center"/>
          </w:tcPr>
          <w:p w14:paraId="0514030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97" w:type="pct"/>
            <w:tcBorders>
              <w:top w:val="single" w:sz="4" w:space="0" w:color="000000"/>
              <w:bottom w:val="nil"/>
            </w:tcBorders>
            <w:shd w:val="clear" w:color="auto" w:fill="FFFFFF"/>
            <w:noWrap/>
            <w:vAlign w:val="center"/>
          </w:tcPr>
          <w:p w14:paraId="6BC4693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87" w:type="pct"/>
            <w:tcBorders>
              <w:top w:val="single" w:sz="4" w:space="0" w:color="000000"/>
              <w:bottom w:val="nil"/>
            </w:tcBorders>
            <w:shd w:val="clear" w:color="auto" w:fill="FFFFFF"/>
            <w:noWrap/>
            <w:vAlign w:val="center"/>
          </w:tcPr>
          <w:p w14:paraId="690689F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94480D" w14:paraId="0DB0E709" w14:textId="77777777">
        <w:trPr>
          <w:trHeight w:val="348"/>
        </w:trPr>
        <w:tc>
          <w:tcPr>
            <w:tcW w:w="1218" w:type="pct"/>
            <w:tcBorders>
              <w:top w:val="nil"/>
              <w:tl2br w:val="nil"/>
              <w:tr2bl w:val="nil"/>
            </w:tcBorders>
            <w:shd w:val="clear" w:color="auto" w:fill="FFFFFF"/>
            <w:vAlign w:val="center"/>
          </w:tcPr>
          <w:p w14:paraId="4E6C3D84"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能源消耗量</w:t>
            </w:r>
          </w:p>
        </w:tc>
        <w:tc>
          <w:tcPr>
            <w:tcW w:w="397" w:type="pct"/>
            <w:tcBorders>
              <w:top w:val="nil"/>
              <w:tl2br w:val="nil"/>
              <w:tr2bl w:val="nil"/>
            </w:tcBorders>
            <w:shd w:val="clear" w:color="auto" w:fill="FFFFFF"/>
            <w:noWrap/>
            <w:vAlign w:val="center"/>
          </w:tcPr>
          <w:p w14:paraId="2980CB1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op w:val="nil"/>
              <w:tl2br w:val="nil"/>
              <w:tr2bl w:val="nil"/>
            </w:tcBorders>
            <w:shd w:val="clear" w:color="auto" w:fill="FFFFFF"/>
            <w:noWrap/>
            <w:vAlign w:val="center"/>
          </w:tcPr>
          <w:p w14:paraId="4CFC1EE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op w:val="nil"/>
              <w:tl2br w:val="nil"/>
              <w:tr2bl w:val="nil"/>
            </w:tcBorders>
            <w:shd w:val="clear" w:color="auto" w:fill="FFFFFF"/>
            <w:vAlign w:val="center"/>
          </w:tcPr>
          <w:p w14:paraId="7F3A4CD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57" w:type="pct"/>
            <w:tcBorders>
              <w:top w:val="nil"/>
              <w:tl2br w:val="nil"/>
              <w:tr2bl w:val="nil"/>
            </w:tcBorders>
            <w:shd w:val="clear" w:color="auto" w:fill="FFFFFF"/>
            <w:noWrap/>
            <w:vAlign w:val="center"/>
          </w:tcPr>
          <w:p w14:paraId="7AA20A5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op w:val="nil"/>
              <w:tl2br w:val="nil"/>
              <w:tr2bl w:val="nil"/>
            </w:tcBorders>
            <w:shd w:val="clear" w:color="auto" w:fill="FFFFFF"/>
            <w:noWrap/>
            <w:vAlign w:val="center"/>
          </w:tcPr>
          <w:p w14:paraId="3574E8E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op w:val="nil"/>
              <w:tl2br w:val="nil"/>
              <w:tr2bl w:val="nil"/>
            </w:tcBorders>
            <w:shd w:val="clear" w:color="auto" w:fill="FFFFFF"/>
            <w:noWrap/>
            <w:vAlign w:val="center"/>
          </w:tcPr>
          <w:p w14:paraId="6117D2A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92" w:type="pct"/>
            <w:tcBorders>
              <w:top w:val="nil"/>
              <w:tl2br w:val="nil"/>
              <w:tr2bl w:val="nil"/>
            </w:tcBorders>
            <w:shd w:val="clear" w:color="auto" w:fill="FFFFFF"/>
            <w:noWrap/>
            <w:vAlign w:val="center"/>
          </w:tcPr>
          <w:p w14:paraId="69F8A68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1" w:type="pct"/>
            <w:tcBorders>
              <w:top w:val="nil"/>
              <w:tl2br w:val="nil"/>
              <w:tr2bl w:val="nil"/>
            </w:tcBorders>
            <w:shd w:val="clear" w:color="auto" w:fill="FFFFFF"/>
            <w:noWrap/>
            <w:vAlign w:val="center"/>
          </w:tcPr>
          <w:p w14:paraId="031A92A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97" w:type="pct"/>
            <w:tcBorders>
              <w:top w:val="nil"/>
              <w:tl2br w:val="nil"/>
              <w:tr2bl w:val="nil"/>
            </w:tcBorders>
            <w:shd w:val="clear" w:color="auto" w:fill="FFFFFF"/>
            <w:noWrap/>
            <w:vAlign w:val="center"/>
          </w:tcPr>
          <w:p w14:paraId="2D787D7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87" w:type="pct"/>
            <w:tcBorders>
              <w:top w:val="nil"/>
              <w:tl2br w:val="nil"/>
              <w:tr2bl w:val="nil"/>
            </w:tcBorders>
            <w:shd w:val="clear" w:color="auto" w:fill="FFFFFF"/>
            <w:noWrap/>
            <w:vAlign w:val="center"/>
          </w:tcPr>
          <w:p w14:paraId="0272EB1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7E0995EC" w14:textId="77777777">
        <w:trPr>
          <w:trHeight w:val="348"/>
        </w:trPr>
        <w:tc>
          <w:tcPr>
            <w:tcW w:w="1218" w:type="pct"/>
            <w:tcBorders>
              <w:tl2br w:val="nil"/>
              <w:tr2bl w:val="nil"/>
            </w:tcBorders>
            <w:shd w:val="clear" w:color="auto" w:fill="FFFFFF"/>
            <w:vAlign w:val="center"/>
          </w:tcPr>
          <w:p w14:paraId="569C016A"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废物排放量</w:t>
            </w:r>
          </w:p>
        </w:tc>
        <w:tc>
          <w:tcPr>
            <w:tcW w:w="397" w:type="pct"/>
            <w:tcBorders>
              <w:tl2br w:val="nil"/>
              <w:tr2bl w:val="nil"/>
            </w:tcBorders>
            <w:shd w:val="clear" w:color="auto" w:fill="FFFFFF"/>
            <w:noWrap/>
            <w:vAlign w:val="center"/>
          </w:tcPr>
          <w:p w14:paraId="39EF126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23A0E90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noWrap/>
            <w:vAlign w:val="center"/>
          </w:tcPr>
          <w:p w14:paraId="6F18B0E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tl2br w:val="nil"/>
              <w:tr2bl w:val="nil"/>
            </w:tcBorders>
            <w:shd w:val="clear" w:color="auto" w:fill="FFFFFF"/>
            <w:noWrap/>
            <w:vAlign w:val="center"/>
          </w:tcPr>
          <w:p w14:paraId="21481F7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66EC921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46" w:type="pct"/>
            <w:tcBorders>
              <w:tl2br w:val="nil"/>
              <w:tr2bl w:val="nil"/>
            </w:tcBorders>
            <w:shd w:val="clear" w:color="auto" w:fill="FFFFFF"/>
            <w:noWrap/>
            <w:vAlign w:val="center"/>
          </w:tcPr>
          <w:p w14:paraId="1CAE59F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2" w:type="pct"/>
            <w:tcBorders>
              <w:tl2br w:val="nil"/>
              <w:tr2bl w:val="nil"/>
            </w:tcBorders>
            <w:shd w:val="clear" w:color="auto" w:fill="FFFFFF"/>
            <w:noWrap/>
            <w:vAlign w:val="center"/>
          </w:tcPr>
          <w:p w14:paraId="67BE6D7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1" w:type="pct"/>
            <w:tcBorders>
              <w:tl2br w:val="nil"/>
              <w:tr2bl w:val="nil"/>
            </w:tcBorders>
            <w:shd w:val="clear" w:color="auto" w:fill="FFFFFF"/>
            <w:noWrap/>
            <w:vAlign w:val="center"/>
          </w:tcPr>
          <w:p w14:paraId="0F7A371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97" w:type="pct"/>
            <w:tcBorders>
              <w:tl2br w:val="nil"/>
              <w:tr2bl w:val="nil"/>
            </w:tcBorders>
            <w:shd w:val="clear" w:color="auto" w:fill="FFFFFF"/>
            <w:noWrap/>
            <w:vAlign w:val="center"/>
          </w:tcPr>
          <w:p w14:paraId="5E9F299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87" w:type="pct"/>
            <w:tcBorders>
              <w:tl2br w:val="nil"/>
              <w:tr2bl w:val="nil"/>
            </w:tcBorders>
            <w:shd w:val="clear" w:color="auto" w:fill="FFFFFF"/>
            <w:noWrap/>
            <w:vAlign w:val="center"/>
          </w:tcPr>
          <w:p w14:paraId="1B0A87D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65D069F7" w14:textId="77777777">
        <w:trPr>
          <w:trHeight w:val="348"/>
        </w:trPr>
        <w:tc>
          <w:tcPr>
            <w:tcW w:w="1218" w:type="pct"/>
            <w:tcBorders>
              <w:tl2br w:val="nil"/>
              <w:tr2bl w:val="nil"/>
            </w:tcBorders>
            <w:shd w:val="clear" w:color="auto" w:fill="FFFFFF"/>
            <w:vAlign w:val="center"/>
          </w:tcPr>
          <w:p w14:paraId="50C96AA1"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排放物的处理</w:t>
            </w:r>
          </w:p>
        </w:tc>
        <w:tc>
          <w:tcPr>
            <w:tcW w:w="397" w:type="pct"/>
            <w:tcBorders>
              <w:tl2br w:val="nil"/>
              <w:tr2bl w:val="nil"/>
            </w:tcBorders>
            <w:shd w:val="clear" w:color="auto" w:fill="FFFFFF"/>
            <w:noWrap/>
            <w:vAlign w:val="center"/>
          </w:tcPr>
          <w:p w14:paraId="5A0C91E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noWrap/>
            <w:vAlign w:val="center"/>
          </w:tcPr>
          <w:p w14:paraId="2F464EF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374F4F5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tl2br w:val="nil"/>
              <w:tr2bl w:val="nil"/>
            </w:tcBorders>
            <w:shd w:val="clear" w:color="auto" w:fill="FFFFFF"/>
            <w:noWrap/>
            <w:vAlign w:val="center"/>
          </w:tcPr>
          <w:p w14:paraId="78A383A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noWrap/>
            <w:vAlign w:val="center"/>
          </w:tcPr>
          <w:p w14:paraId="33FDE58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46" w:type="pct"/>
            <w:tcBorders>
              <w:tl2br w:val="nil"/>
              <w:tr2bl w:val="nil"/>
            </w:tcBorders>
            <w:shd w:val="clear" w:color="auto" w:fill="FFFFFF"/>
            <w:noWrap/>
            <w:vAlign w:val="center"/>
          </w:tcPr>
          <w:p w14:paraId="2E5C03E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92" w:type="pct"/>
            <w:tcBorders>
              <w:tl2br w:val="nil"/>
              <w:tr2bl w:val="nil"/>
            </w:tcBorders>
            <w:shd w:val="clear" w:color="auto" w:fill="FFFFFF"/>
            <w:noWrap/>
            <w:vAlign w:val="center"/>
          </w:tcPr>
          <w:p w14:paraId="1B0E78C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1" w:type="pct"/>
            <w:tcBorders>
              <w:tl2br w:val="nil"/>
              <w:tr2bl w:val="nil"/>
            </w:tcBorders>
            <w:shd w:val="clear" w:color="auto" w:fill="FFFFFF"/>
            <w:noWrap/>
            <w:vAlign w:val="center"/>
          </w:tcPr>
          <w:p w14:paraId="153D400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97" w:type="pct"/>
            <w:tcBorders>
              <w:tl2br w:val="nil"/>
              <w:tr2bl w:val="nil"/>
            </w:tcBorders>
            <w:shd w:val="clear" w:color="auto" w:fill="FFFFFF"/>
            <w:noWrap/>
            <w:vAlign w:val="center"/>
          </w:tcPr>
          <w:p w14:paraId="69CEAB3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87" w:type="pct"/>
            <w:tcBorders>
              <w:tl2br w:val="nil"/>
              <w:tr2bl w:val="nil"/>
            </w:tcBorders>
            <w:shd w:val="clear" w:color="auto" w:fill="FFFFFF"/>
            <w:noWrap/>
            <w:vAlign w:val="center"/>
          </w:tcPr>
          <w:p w14:paraId="388BC9F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2C831083" w14:textId="77777777">
        <w:trPr>
          <w:trHeight w:val="348"/>
        </w:trPr>
        <w:tc>
          <w:tcPr>
            <w:tcW w:w="1218" w:type="pct"/>
            <w:tcBorders>
              <w:tl2br w:val="nil"/>
              <w:tr2bl w:val="nil"/>
            </w:tcBorders>
            <w:shd w:val="clear" w:color="auto" w:fill="FFFFFF"/>
            <w:vAlign w:val="center"/>
          </w:tcPr>
          <w:p w14:paraId="077E0306"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循环利用率</w:t>
            </w:r>
          </w:p>
        </w:tc>
        <w:tc>
          <w:tcPr>
            <w:tcW w:w="397" w:type="pct"/>
            <w:tcBorders>
              <w:tl2br w:val="nil"/>
              <w:tr2bl w:val="nil"/>
            </w:tcBorders>
            <w:shd w:val="clear" w:color="auto" w:fill="FFFFFF"/>
            <w:noWrap/>
            <w:vAlign w:val="center"/>
          </w:tcPr>
          <w:p w14:paraId="0846ABF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7" w:type="pct"/>
            <w:tcBorders>
              <w:tl2br w:val="nil"/>
              <w:tr2bl w:val="nil"/>
            </w:tcBorders>
            <w:shd w:val="clear" w:color="auto" w:fill="FFFFFF"/>
            <w:noWrap/>
            <w:vAlign w:val="center"/>
          </w:tcPr>
          <w:p w14:paraId="1A3ED6D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vAlign w:val="center"/>
          </w:tcPr>
          <w:p w14:paraId="77C539A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57" w:type="pct"/>
            <w:tcBorders>
              <w:tl2br w:val="nil"/>
              <w:tr2bl w:val="nil"/>
            </w:tcBorders>
            <w:shd w:val="clear" w:color="auto" w:fill="FFFFFF"/>
            <w:noWrap/>
            <w:vAlign w:val="center"/>
          </w:tcPr>
          <w:p w14:paraId="6442321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noWrap/>
            <w:vAlign w:val="center"/>
          </w:tcPr>
          <w:p w14:paraId="5A891FA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noWrap/>
            <w:vAlign w:val="center"/>
          </w:tcPr>
          <w:p w14:paraId="5991494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2" w:type="pct"/>
            <w:tcBorders>
              <w:tl2br w:val="nil"/>
              <w:tr2bl w:val="nil"/>
            </w:tcBorders>
            <w:shd w:val="clear" w:color="auto" w:fill="FFFFFF"/>
            <w:noWrap/>
            <w:vAlign w:val="center"/>
          </w:tcPr>
          <w:p w14:paraId="35B5E8D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1" w:type="pct"/>
            <w:tcBorders>
              <w:tl2br w:val="nil"/>
              <w:tr2bl w:val="nil"/>
            </w:tcBorders>
            <w:shd w:val="clear" w:color="auto" w:fill="FFFFFF"/>
            <w:noWrap/>
            <w:vAlign w:val="center"/>
          </w:tcPr>
          <w:p w14:paraId="1EB1453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noWrap/>
            <w:vAlign w:val="center"/>
          </w:tcPr>
          <w:p w14:paraId="11B9E83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87" w:type="pct"/>
            <w:tcBorders>
              <w:tl2br w:val="nil"/>
              <w:tr2bl w:val="nil"/>
            </w:tcBorders>
            <w:shd w:val="clear" w:color="auto" w:fill="FFFFFF"/>
            <w:noWrap/>
            <w:vAlign w:val="center"/>
          </w:tcPr>
          <w:p w14:paraId="240D47A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r>
      <w:tr w:rsidR="0094480D" w14:paraId="0CF7008F" w14:textId="77777777">
        <w:trPr>
          <w:trHeight w:val="348"/>
        </w:trPr>
        <w:tc>
          <w:tcPr>
            <w:tcW w:w="1218" w:type="pct"/>
            <w:tcBorders>
              <w:tl2br w:val="nil"/>
              <w:tr2bl w:val="nil"/>
            </w:tcBorders>
            <w:shd w:val="clear" w:color="auto" w:fill="FFFFFF"/>
            <w:vAlign w:val="center"/>
          </w:tcPr>
          <w:p w14:paraId="3B1D3D91"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排放物的污染程度</w:t>
            </w:r>
          </w:p>
        </w:tc>
        <w:tc>
          <w:tcPr>
            <w:tcW w:w="397" w:type="pct"/>
            <w:tcBorders>
              <w:tl2br w:val="nil"/>
              <w:tr2bl w:val="nil"/>
            </w:tcBorders>
            <w:shd w:val="clear" w:color="auto" w:fill="FFFFFF"/>
            <w:noWrap/>
            <w:vAlign w:val="center"/>
          </w:tcPr>
          <w:p w14:paraId="6BCFC48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1CB4767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7" w:type="pct"/>
            <w:tcBorders>
              <w:tl2br w:val="nil"/>
              <w:tr2bl w:val="nil"/>
            </w:tcBorders>
            <w:shd w:val="clear" w:color="auto" w:fill="FFFFFF"/>
            <w:noWrap/>
            <w:vAlign w:val="center"/>
          </w:tcPr>
          <w:p w14:paraId="5231AF3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tl2br w:val="nil"/>
              <w:tr2bl w:val="nil"/>
            </w:tcBorders>
            <w:shd w:val="clear" w:color="auto" w:fill="FFFFFF"/>
            <w:noWrap/>
            <w:vAlign w:val="center"/>
          </w:tcPr>
          <w:p w14:paraId="571C823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7BBD382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noWrap/>
            <w:vAlign w:val="center"/>
          </w:tcPr>
          <w:p w14:paraId="251FE96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92" w:type="pct"/>
            <w:tcBorders>
              <w:tl2br w:val="nil"/>
              <w:tr2bl w:val="nil"/>
            </w:tcBorders>
            <w:shd w:val="clear" w:color="auto" w:fill="FFFFFF"/>
            <w:noWrap/>
            <w:vAlign w:val="center"/>
          </w:tcPr>
          <w:p w14:paraId="544A58A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1" w:type="pct"/>
            <w:tcBorders>
              <w:tl2br w:val="nil"/>
              <w:tr2bl w:val="nil"/>
            </w:tcBorders>
            <w:shd w:val="clear" w:color="auto" w:fill="FFFFFF"/>
            <w:noWrap/>
            <w:vAlign w:val="center"/>
          </w:tcPr>
          <w:p w14:paraId="4337F40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97" w:type="pct"/>
            <w:tcBorders>
              <w:tl2br w:val="nil"/>
              <w:tr2bl w:val="nil"/>
            </w:tcBorders>
            <w:shd w:val="clear" w:color="auto" w:fill="FFFFFF"/>
            <w:noWrap/>
            <w:vAlign w:val="center"/>
          </w:tcPr>
          <w:p w14:paraId="5498B56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87" w:type="pct"/>
            <w:tcBorders>
              <w:tl2br w:val="nil"/>
              <w:tr2bl w:val="nil"/>
            </w:tcBorders>
            <w:shd w:val="clear" w:color="auto" w:fill="FFFFFF"/>
            <w:noWrap/>
            <w:vAlign w:val="center"/>
          </w:tcPr>
          <w:p w14:paraId="017552D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7D39E16D" w14:textId="77777777">
        <w:trPr>
          <w:trHeight w:val="348"/>
        </w:trPr>
        <w:tc>
          <w:tcPr>
            <w:tcW w:w="1218" w:type="pct"/>
            <w:tcBorders>
              <w:tl2br w:val="nil"/>
              <w:tr2bl w:val="nil"/>
            </w:tcBorders>
            <w:shd w:val="clear" w:color="auto" w:fill="FFFFFF"/>
            <w:vAlign w:val="center"/>
          </w:tcPr>
          <w:p w14:paraId="7ADD1F40"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成本效益</w:t>
            </w:r>
          </w:p>
        </w:tc>
        <w:tc>
          <w:tcPr>
            <w:tcW w:w="397" w:type="pct"/>
            <w:tcBorders>
              <w:tl2br w:val="nil"/>
              <w:tr2bl w:val="nil"/>
            </w:tcBorders>
            <w:shd w:val="clear" w:color="auto" w:fill="FFFFFF"/>
            <w:noWrap/>
            <w:vAlign w:val="center"/>
          </w:tcPr>
          <w:p w14:paraId="1004D38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noWrap/>
            <w:vAlign w:val="center"/>
          </w:tcPr>
          <w:p w14:paraId="243381E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670AC2D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57" w:type="pct"/>
            <w:tcBorders>
              <w:tl2br w:val="nil"/>
              <w:tr2bl w:val="nil"/>
            </w:tcBorders>
            <w:shd w:val="clear" w:color="auto" w:fill="FFFFFF"/>
            <w:noWrap/>
            <w:vAlign w:val="center"/>
          </w:tcPr>
          <w:p w14:paraId="22E2C3F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7" w:type="pct"/>
            <w:tcBorders>
              <w:tl2br w:val="nil"/>
              <w:tr2bl w:val="nil"/>
            </w:tcBorders>
            <w:shd w:val="clear" w:color="auto" w:fill="FFFFFF"/>
            <w:noWrap/>
            <w:vAlign w:val="center"/>
          </w:tcPr>
          <w:p w14:paraId="7083FA1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noWrap/>
            <w:vAlign w:val="center"/>
          </w:tcPr>
          <w:p w14:paraId="121D789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w:t>
            </w:r>
          </w:p>
        </w:tc>
        <w:tc>
          <w:tcPr>
            <w:tcW w:w="392" w:type="pct"/>
            <w:tcBorders>
              <w:tl2br w:val="nil"/>
              <w:tr2bl w:val="nil"/>
            </w:tcBorders>
            <w:shd w:val="clear" w:color="auto" w:fill="FFFFFF"/>
            <w:noWrap/>
            <w:vAlign w:val="center"/>
          </w:tcPr>
          <w:p w14:paraId="0FA893B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1" w:type="pct"/>
            <w:tcBorders>
              <w:tl2br w:val="nil"/>
              <w:tr2bl w:val="nil"/>
            </w:tcBorders>
            <w:shd w:val="clear" w:color="auto" w:fill="FFFFFF"/>
            <w:noWrap/>
            <w:vAlign w:val="center"/>
          </w:tcPr>
          <w:p w14:paraId="5137E9A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noWrap/>
            <w:vAlign w:val="center"/>
          </w:tcPr>
          <w:p w14:paraId="690AEC5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87" w:type="pct"/>
            <w:tcBorders>
              <w:tl2br w:val="nil"/>
              <w:tr2bl w:val="nil"/>
            </w:tcBorders>
            <w:shd w:val="clear" w:color="auto" w:fill="FFFFFF"/>
            <w:noWrap/>
            <w:vAlign w:val="center"/>
          </w:tcPr>
          <w:p w14:paraId="631A263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695D3005" w14:textId="77777777">
        <w:trPr>
          <w:trHeight w:val="348"/>
        </w:trPr>
        <w:tc>
          <w:tcPr>
            <w:tcW w:w="1218" w:type="pct"/>
            <w:tcBorders>
              <w:tl2br w:val="nil"/>
              <w:tr2bl w:val="nil"/>
            </w:tcBorders>
            <w:shd w:val="clear" w:color="auto" w:fill="FFFFFF"/>
            <w:vAlign w:val="center"/>
          </w:tcPr>
          <w:p w14:paraId="308A08B0"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投资回报率</w:t>
            </w:r>
          </w:p>
        </w:tc>
        <w:tc>
          <w:tcPr>
            <w:tcW w:w="397" w:type="pct"/>
            <w:tcBorders>
              <w:tl2br w:val="nil"/>
              <w:tr2bl w:val="nil"/>
            </w:tcBorders>
            <w:shd w:val="clear" w:color="auto" w:fill="FFFFFF"/>
            <w:noWrap/>
            <w:vAlign w:val="center"/>
          </w:tcPr>
          <w:p w14:paraId="3A7C059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42EFD19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vAlign w:val="center"/>
          </w:tcPr>
          <w:p w14:paraId="0548763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57" w:type="pct"/>
            <w:tcBorders>
              <w:tl2br w:val="nil"/>
              <w:tr2bl w:val="nil"/>
            </w:tcBorders>
            <w:shd w:val="clear" w:color="auto" w:fill="FFFFFF"/>
            <w:noWrap/>
            <w:vAlign w:val="center"/>
          </w:tcPr>
          <w:p w14:paraId="47EC903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5966A06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46" w:type="pct"/>
            <w:tcBorders>
              <w:tl2br w:val="nil"/>
              <w:tr2bl w:val="nil"/>
            </w:tcBorders>
            <w:shd w:val="clear" w:color="auto" w:fill="FFFFFF"/>
            <w:noWrap/>
            <w:vAlign w:val="center"/>
          </w:tcPr>
          <w:p w14:paraId="5125196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92" w:type="pct"/>
            <w:tcBorders>
              <w:tl2br w:val="nil"/>
              <w:tr2bl w:val="nil"/>
            </w:tcBorders>
            <w:shd w:val="clear" w:color="auto" w:fill="FFFFFF"/>
            <w:noWrap/>
            <w:vAlign w:val="center"/>
          </w:tcPr>
          <w:p w14:paraId="174CCA9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1" w:type="pct"/>
            <w:tcBorders>
              <w:tl2br w:val="nil"/>
              <w:tr2bl w:val="nil"/>
            </w:tcBorders>
            <w:shd w:val="clear" w:color="auto" w:fill="FFFFFF"/>
            <w:noWrap/>
            <w:vAlign w:val="center"/>
          </w:tcPr>
          <w:p w14:paraId="780560A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noWrap/>
            <w:vAlign w:val="center"/>
          </w:tcPr>
          <w:p w14:paraId="0159669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87" w:type="pct"/>
            <w:tcBorders>
              <w:tl2br w:val="nil"/>
              <w:tr2bl w:val="nil"/>
            </w:tcBorders>
            <w:shd w:val="clear" w:color="auto" w:fill="FFFFFF"/>
            <w:noWrap/>
            <w:vAlign w:val="center"/>
          </w:tcPr>
          <w:p w14:paraId="5DC1A82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0CED4029" w14:textId="77777777">
        <w:trPr>
          <w:trHeight w:val="348"/>
        </w:trPr>
        <w:tc>
          <w:tcPr>
            <w:tcW w:w="1218" w:type="pct"/>
            <w:tcBorders>
              <w:tl2br w:val="nil"/>
              <w:tr2bl w:val="nil"/>
            </w:tcBorders>
            <w:shd w:val="clear" w:color="auto" w:fill="FFFFFF"/>
            <w:vAlign w:val="center"/>
          </w:tcPr>
          <w:p w14:paraId="3708102D"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市场竞争力</w:t>
            </w:r>
          </w:p>
        </w:tc>
        <w:tc>
          <w:tcPr>
            <w:tcW w:w="397" w:type="pct"/>
            <w:tcBorders>
              <w:tl2br w:val="nil"/>
              <w:tr2bl w:val="nil"/>
            </w:tcBorders>
            <w:shd w:val="clear" w:color="auto" w:fill="FFFFFF"/>
            <w:noWrap/>
            <w:vAlign w:val="center"/>
          </w:tcPr>
          <w:p w14:paraId="4B61587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vAlign w:val="center"/>
          </w:tcPr>
          <w:p w14:paraId="708B264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7" w:type="pct"/>
            <w:tcBorders>
              <w:tl2br w:val="nil"/>
              <w:tr2bl w:val="nil"/>
            </w:tcBorders>
            <w:shd w:val="clear" w:color="auto" w:fill="FFFFFF"/>
            <w:noWrap/>
            <w:vAlign w:val="center"/>
          </w:tcPr>
          <w:p w14:paraId="2547ED8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57" w:type="pct"/>
            <w:tcBorders>
              <w:tl2br w:val="nil"/>
              <w:tr2bl w:val="nil"/>
            </w:tcBorders>
            <w:shd w:val="clear" w:color="auto" w:fill="FFFFFF"/>
            <w:noWrap/>
            <w:vAlign w:val="center"/>
          </w:tcPr>
          <w:p w14:paraId="536FFA0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09D7E24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noWrap/>
            <w:vAlign w:val="center"/>
          </w:tcPr>
          <w:p w14:paraId="3A1030F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2" w:type="pct"/>
            <w:tcBorders>
              <w:tl2br w:val="nil"/>
              <w:tr2bl w:val="nil"/>
            </w:tcBorders>
            <w:shd w:val="clear" w:color="auto" w:fill="FFFFFF"/>
            <w:vAlign w:val="center"/>
          </w:tcPr>
          <w:p w14:paraId="1A33E4B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1" w:type="pct"/>
            <w:tcBorders>
              <w:tl2br w:val="nil"/>
              <w:tr2bl w:val="nil"/>
            </w:tcBorders>
            <w:shd w:val="clear" w:color="auto" w:fill="FFFFFF"/>
            <w:noWrap/>
            <w:vAlign w:val="center"/>
          </w:tcPr>
          <w:p w14:paraId="53D986D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noWrap/>
            <w:vAlign w:val="center"/>
          </w:tcPr>
          <w:p w14:paraId="5B178BF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87" w:type="pct"/>
            <w:tcBorders>
              <w:tl2br w:val="nil"/>
              <w:tr2bl w:val="nil"/>
            </w:tcBorders>
            <w:shd w:val="clear" w:color="auto" w:fill="FFFFFF"/>
            <w:noWrap/>
            <w:vAlign w:val="center"/>
          </w:tcPr>
          <w:p w14:paraId="3161B86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05E8FEDB" w14:textId="77777777">
        <w:trPr>
          <w:trHeight w:val="348"/>
        </w:trPr>
        <w:tc>
          <w:tcPr>
            <w:tcW w:w="1218" w:type="pct"/>
            <w:tcBorders>
              <w:tl2br w:val="nil"/>
              <w:tr2bl w:val="nil"/>
            </w:tcBorders>
            <w:shd w:val="clear" w:color="auto" w:fill="FFFFFF"/>
            <w:vAlign w:val="center"/>
          </w:tcPr>
          <w:p w14:paraId="04C32377"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经济增长潜力</w:t>
            </w:r>
          </w:p>
        </w:tc>
        <w:tc>
          <w:tcPr>
            <w:tcW w:w="397" w:type="pct"/>
            <w:tcBorders>
              <w:tl2br w:val="nil"/>
              <w:tr2bl w:val="nil"/>
            </w:tcBorders>
            <w:shd w:val="clear" w:color="auto" w:fill="FFFFFF"/>
            <w:noWrap/>
            <w:vAlign w:val="center"/>
          </w:tcPr>
          <w:p w14:paraId="4D34330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66970A4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vAlign w:val="center"/>
          </w:tcPr>
          <w:p w14:paraId="4B724B7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57" w:type="pct"/>
            <w:tcBorders>
              <w:tl2br w:val="nil"/>
              <w:tr2bl w:val="nil"/>
            </w:tcBorders>
            <w:shd w:val="clear" w:color="auto" w:fill="FFFFFF"/>
            <w:vAlign w:val="center"/>
          </w:tcPr>
          <w:p w14:paraId="7AC5EFD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vAlign w:val="center"/>
          </w:tcPr>
          <w:p w14:paraId="168FF71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46" w:type="pct"/>
            <w:tcBorders>
              <w:tl2br w:val="nil"/>
              <w:tr2bl w:val="nil"/>
            </w:tcBorders>
            <w:shd w:val="clear" w:color="auto" w:fill="FFFFFF"/>
            <w:noWrap/>
            <w:vAlign w:val="center"/>
          </w:tcPr>
          <w:p w14:paraId="2C07B08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92" w:type="pct"/>
            <w:tcBorders>
              <w:tl2br w:val="nil"/>
              <w:tr2bl w:val="nil"/>
            </w:tcBorders>
            <w:shd w:val="clear" w:color="auto" w:fill="FFFFFF"/>
            <w:noWrap/>
            <w:vAlign w:val="center"/>
          </w:tcPr>
          <w:p w14:paraId="3E0C368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1" w:type="pct"/>
            <w:tcBorders>
              <w:tl2br w:val="nil"/>
              <w:tr2bl w:val="nil"/>
            </w:tcBorders>
            <w:shd w:val="clear" w:color="auto" w:fill="FFFFFF"/>
            <w:noWrap/>
            <w:vAlign w:val="center"/>
          </w:tcPr>
          <w:p w14:paraId="7595EE0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vAlign w:val="center"/>
          </w:tcPr>
          <w:p w14:paraId="13D979D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87" w:type="pct"/>
            <w:tcBorders>
              <w:tl2br w:val="nil"/>
              <w:tr2bl w:val="nil"/>
            </w:tcBorders>
            <w:shd w:val="clear" w:color="auto" w:fill="FFFFFF"/>
            <w:noWrap/>
            <w:vAlign w:val="center"/>
          </w:tcPr>
          <w:p w14:paraId="19239A7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7E772D23" w14:textId="77777777">
        <w:trPr>
          <w:trHeight w:val="348"/>
        </w:trPr>
        <w:tc>
          <w:tcPr>
            <w:tcW w:w="1218" w:type="pct"/>
            <w:tcBorders>
              <w:tl2br w:val="nil"/>
              <w:tr2bl w:val="nil"/>
            </w:tcBorders>
            <w:shd w:val="clear" w:color="auto" w:fill="FFFFFF"/>
            <w:vAlign w:val="center"/>
          </w:tcPr>
          <w:p w14:paraId="5685B933"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盈利能力</w:t>
            </w:r>
          </w:p>
        </w:tc>
        <w:tc>
          <w:tcPr>
            <w:tcW w:w="397" w:type="pct"/>
            <w:tcBorders>
              <w:tl2br w:val="nil"/>
              <w:tr2bl w:val="nil"/>
            </w:tcBorders>
            <w:shd w:val="clear" w:color="auto" w:fill="FFFFFF"/>
            <w:noWrap/>
            <w:vAlign w:val="center"/>
          </w:tcPr>
          <w:p w14:paraId="631EC8B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2F0729F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40E1AA8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tl2br w:val="nil"/>
              <w:tr2bl w:val="nil"/>
            </w:tcBorders>
            <w:shd w:val="clear" w:color="auto" w:fill="FFFFFF"/>
            <w:noWrap/>
            <w:vAlign w:val="center"/>
          </w:tcPr>
          <w:p w14:paraId="2C57763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vAlign w:val="center"/>
          </w:tcPr>
          <w:p w14:paraId="325F549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46" w:type="pct"/>
            <w:tcBorders>
              <w:tl2br w:val="nil"/>
              <w:tr2bl w:val="nil"/>
            </w:tcBorders>
            <w:shd w:val="clear" w:color="auto" w:fill="FFFFFF"/>
            <w:noWrap/>
            <w:vAlign w:val="center"/>
          </w:tcPr>
          <w:p w14:paraId="0E3D875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2" w:type="pct"/>
            <w:tcBorders>
              <w:tl2br w:val="nil"/>
              <w:tr2bl w:val="nil"/>
            </w:tcBorders>
            <w:shd w:val="clear" w:color="auto" w:fill="FFFFFF"/>
            <w:noWrap/>
            <w:vAlign w:val="center"/>
          </w:tcPr>
          <w:p w14:paraId="697ED87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1" w:type="pct"/>
            <w:tcBorders>
              <w:tl2br w:val="nil"/>
              <w:tr2bl w:val="nil"/>
            </w:tcBorders>
            <w:shd w:val="clear" w:color="auto" w:fill="FFFFFF"/>
            <w:noWrap/>
            <w:vAlign w:val="center"/>
          </w:tcPr>
          <w:p w14:paraId="4242693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vAlign w:val="center"/>
          </w:tcPr>
          <w:p w14:paraId="08CAB6E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87" w:type="pct"/>
            <w:tcBorders>
              <w:tl2br w:val="nil"/>
              <w:tr2bl w:val="nil"/>
            </w:tcBorders>
            <w:shd w:val="clear" w:color="auto" w:fill="FFFFFF"/>
            <w:noWrap/>
            <w:vAlign w:val="center"/>
          </w:tcPr>
          <w:p w14:paraId="63D85D1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1406B52C" w14:textId="77777777">
        <w:trPr>
          <w:trHeight w:val="348"/>
        </w:trPr>
        <w:tc>
          <w:tcPr>
            <w:tcW w:w="1218" w:type="pct"/>
            <w:tcBorders>
              <w:tl2br w:val="nil"/>
              <w:tr2bl w:val="nil"/>
            </w:tcBorders>
            <w:shd w:val="clear" w:color="auto" w:fill="FFFFFF"/>
            <w:vAlign w:val="center"/>
          </w:tcPr>
          <w:p w14:paraId="3D0BA15C"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对就业的贡献</w:t>
            </w:r>
          </w:p>
        </w:tc>
        <w:tc>
          <w:tcPr>
            <w:tcW w:w="397" w:type="pct"/>
            <w:tcBorders>
              <w:tl2br w:val="nil"/>
              <w:tr2bl w:val="nil"/>
            </w:tcBorders>
            <w:shd w:val="clear" w:color="auto" w:fill="FFFFFF"/>
            <w:noWrap/>
            <w:vAlign w:val="center"/>
          </w:tcPr>
          <w:p w14:paraId="023A13D4"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0917517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vAlign w:val="center"/>
          </w:tcPr>
          <w:p w14:paraId="5E9DAEA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57" w:type="pct"/>
            <w:tcBorders>
              <w:tl2br w:val="nil"/>
              <w:tr2bl w:val="nil"/>
            </w:tcBorders>
            <w:shd w:val="clear" w:color="auto" w:fill="FFFFFF"/>
            <w:noWrap/>
            <w:vAlign w:val="center"/>
          </w:tcPr>
          <w:p w14:paraId="62414A3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7DCA0F6D"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noWrap/>
            <w:vAlign w:val="center"/>
          </w:tcPr>
          <w:p w14:paraId="4BBEBFC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2" w:type="pct"/>
            <w:tcBorders>
              <w:tl2br w:val="nil"/>
              <w:tr2bl w:val="nil"/>
            </w:tcBorders>
            <w:shd w:val="clear" w:color="auto" w:fill="FFFFFF"/>
            <w:vAlign w:val="center"/>
          </w:tcPr>
          <w:p w14:paraId="6FD141B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1" w:type="pct"/>
            <w:tcBorders>
              <w:tl2br w:val="nil"/>
              <w:tr2bl w:val="nil"/>
            </w:tcBorders>
            <w:shd w:val="clear" w:color="auto" w:fill="FFFFFF"/>
            <w:noWrap/>
            <w:vAlign w:val="center"/>
          </w:tcPr>
          <w:p w14:paraId="49D3CBD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noWrap/>
            <w:vAlign w:val="center"/>
          </w:tcPr>
          <w:p w14:paraId="5D3F2150"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87" w:type="pct"/>
            <w:tcBorders>
              <w:tl2br w:val="nil"/>
              <w:tr2bl w:val="nil"/>
            </w:tcBorders>
            <w:shd w:val="clear" w:color="auto" w:fill="FFFFFF"/>
            <w:noWrap/>
            <w:vAlign w:val="center"/>
          </w:tcPr>
          <w:p w14:paraId="59EDD4B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5503CFFF" w14:textId="77777777">
        <w:trPr>
          <w:trHeight w:val="348"/>
        </w:trPr>
        <w:tc>
          <w:tcPr>
            <w:tcW w:w="1218" w:type="pct"/>
            <w:tcBorders>
              <w:tl2br w:val="nil"/>
              <w:tr2bl w:val="nil"/>
            </w:tcBorders>
            <w:shd w:val="clear" w:color="auto" w:fill="FFFFFF"/>
            <w:vAlign w:val="center"/>
          </w:tcPr>
          <w:p w14:paraId="6061050A"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社区参与和支持</w:t>
            </w:r>
          </w:p>
        </w:tc>
        <w:tc>
          <w:tcPr>
            <w:tcW w:w="397" w:type="pct"/>
            <w:tcBorders>
              <w:tl2br w:val="nil"/>
              <w:tr2bl w:val="nil"/>
            </w:tcBorders>
            <w:shd w:val="clear" w:color="auto" w:fill="FFFFFF"/>
            <w:noWrap/>
            <w:vAlign w:val="center"/>
          </w:tcPr>
          <w:p w14:paraId="050B495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1D09805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108DA5D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tl2br w:val="nil"/>
              <w:tr2bl w:val="nil"/>
            </w:tcBorders>
            <w:shd w:val="clear" w:color="auto" w:fill="FFFFFF"/>
            <w:vAlign w:val="center"/>
          </w:tcPr>
          <w:p w14:paraId="251FAB8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7" w:type="pct"/>
            <w:tcBorders>
              <w:tl2br w:val="nil"/>
              <w:tr2bl w:val="nil"/>
            </w:tcBorders>
            <w:shd w:val="clear" w:color="auto" w:fill="FFFFFF"/>
            <w:noWrap/>
            <w:vAlign w:val="center"/>
          </w:tcPr>
          <w:p w14:paraId="4B03468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noWrap/>
            <w:vAlign w:val="center"/>
          </w:tcPr>
          <w:p w14:paraId="57B4D07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2" w:type="pct"/>
            <w:tcBorders>
              <w:tl2br w:val="nil"/>
              <w:tr2bl w:val="nil"/>
            </w:tcBorders>
            <w:shd w:val="clear" w:color="auto" w:fill="FFFFFF"/>
            <w:vAlign w:val="center"/>
          </w:tcPr>
          <w:p w14:paraId="4EAEBDB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1" w:type="pct"/>
            <w:tcBorders>
              <w:tl2br w:val="nil"/>
              <w:tr2bl w:val="nil"/>
            </w:tcBorders>
            <w:shd w:val="clear" w:color="auto" w:fill="FFFFFF"/>
            <w:noWrap/>
            <w:vAlign w:val="center"/>
          </w:tcPr>
          <w:p w14:paraId="20B04CA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noWrap/>
            <w:vAlign w:val="center"/>
          </w:tcPr>
          <w:p w14:paraId="2679673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w:t>
            </w:r>
          </w:p>
        </w:tc>
        <w:tc>
          <w:tcPr>
            <w:tcW w:w="387" w:type="pct"/>
            <w:tcBorders>
              <w:tl2br w:val="nil"/>
              <w:tr2bl w:val="nil"/>
            </w:tcBorders>
            <w:shd w:val="clear" w:color="auto" w:fill="FFFFFF"/>
            <w:noWrap/>
            <w:vAlign w:val="center"/>
          </w:tcPr>
          <w:p w14:paraId="1A79FDA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r>
      <w:tr w:rsidR="0094480D" w14:paraId="63192EE3" w14:textId="77777777">
        <w:trPr>
          <w:trHeight w:val="348"/>
        </w:trPr>
        <w:tc>
          <w:tcPr>
            <w:tcW w:w="1218" w:type="pct"/>
            <w:tcBorders>
              <w:tl2br w:val="nil"/>
              <w:tr2bl w:val="nil"/>
            </w:tcBorders>
            <w:shd w:val="clear" w:color="auto" w:fill="FFFFFF"/>
            <w:vAlign w:val="center"/>
          </w:tcPr>
          <w:p w14:paraId="0E4F408F"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工作场所安全</w:t>
            </w:r>
          </w:p>
        </w:tc>
        <w:tc>
          <w:tcPr>
            <w:tcW w:w="397" w:type="pct"/>
            <w:tcBorders>
              <w:tl2br w:val="nil"/>
              <w:tr2bl w:val="nil"/>
            </w:tcBorders>
            <w:shd w:val="clear" w:color="auto" w:fill="FFFFFF"/>
            <w:noWrap/>
            <w:vAlign w:val="center"/>
          </w:tcPr>
          <w:p w14:paraId="116C560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noWrap/>
            <w:vAlign w:val="center"/>
          </w:tcPr>
          <w:p w14:paraId="042D77EE"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5F5EA51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tl2br w:val="nil"/>
              <w:tr2bl w:val="nil"/>
            </w:tcBorders>
            <w:shd w:val="clear" w:color="auto" w:fill="FFFFFF"/>
            <w:noWrap/>
            <w:vAlign w:val="center"/>
          </w:tcPr>
          <w:p w14:paraId="4CEFABE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tl2br w:val="nil"/>
              <w:tr2bl w:val="nil"/>
            </w:tcBorders>
            <w:shd w:val="clear" w:color="auto" w:fill="FFFFFF"/>
            <w:noWrap/>
            <w:vAlign w:val="center"/>
          </w:tcPr>
          <w:p w14:paraId="21A2D39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vAlign w:val="center"/>
          </w:tcPr>
          <w:p w14:paraId="7E9C792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92" w:type="pct"/>
            <w:tcBorders>
              <w:tl2br w:val="nil"/>
              <w:tr2bl w:val="nil"/>
            </w:tcBorders>
            <w:shd w:val="clear" w:color="auto" w:fill="FFFFFF"/>
            <w:noWrap/>
            <w:vAlign w:val="center"/>
          </w:tcPr>
          <w:p w14:paraId="53E0046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1" w:type="pct"/>
            <w:tcBorders>
              <w:tl2br w:val="nil"/>
              <w:tr2bl w:val="nil"/>
            </w:tcBorders>
            <w:shd w:val="clear" w:color="auto" w:fill="FFFFFF"/>
            <w:vAlign w:val="center"/>
          </w:tcPr>
          <w:p w14:paraId="5416221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97" w:type="pct"/>
            <w:tcBorders>
              <w:tl2br w:val="nil"/>
              <w:tr2bl w:val="nil"/>
            </w:tcBorders>
            <w:shd w:val="clear" w:color="auto" w:fill="FFFFFF"/>
            <w:noWrap/>
            <w:vAlign w:val="center"/>
          </w:tcPr>
          <w:p w14:paraId="7027709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87" w:type="pct"/>
            <w:tcBorders>
              <w:tl2br w:val="nil"/>
              <w:tr2bl w:val="nil"/>
            </w:tcBorders>
            <w:shd w:val="clear" w:color="auto" w:fill="FFFFFF"/>
            <w:noWrap/>
            <w:vAlign w:val="center"/>
          </w:tcPr>
          <w:p w14:paraId="3416A08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r w:rsidR="0094480D" w14:paraId="71FED963" w14:textId="77777777">
        <w:trPr>
          <w:trHeight w:val="348"/>
        </w:trPr>
        <w:tc>
          <w:tcPr>
            <w:tcW w:w="1218" w:type="pct"/>
            <w:tcBorders>
              <w:tl2br w:val="nil"/>
              <w:tr2bl w:val="nil"/>
            </w:tcBorders>
            <w:shd w:val="clear" w:color="auto" w:fill="FFFFFF"/>
            <w:vAlign w:val="center"/>
          </w:tcPr>
          <w:p w14:paraId="58289E1E"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员工福利</w:t>
            </w:r>
          </w:p>
        </w:tc>
        <w:tc>
          <w:tcPr>
            <w:tcW w:w="397" w:type="pct"/>
            <w:tcBorders>
              <w:tl2br w:val="nil"/>
              <w:tr2bl w:val="nil"/>
            </w:tcBorders>
            <w:shd w:val="clear" w:color="auto" w:fill="FFFFFF"/>
            <w:noWrap/>
            <w:vAlign w:val="center"/>
          </w:tcPr>
          <w:p w14:paraId="2946D511"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1D68C3C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tl2br w:val="nil"/>
              <w:tr2bl w:val="nil"/>
            </w:tcBorders>
            <w:shd w:val="clear" w:color="auto" w:fill="FFFFFF"/>
            <w:noWrap/>
            <w:vAlign w:val="center"/>
          </w:tcPr>
          <w:p w14:paraId="572C1BA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tl2br w:val="nil"/>
              <w:tr2bl w:val="nil"/>
            </w:tcBorders>
            <w:shd w:val="clear" w:color="auto" w:fill="FFFFFF"/>
            <w:vAlign w:val="center"/>
          </w:tcPr>
          <w:p w14:paraId="522EF9B7"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77" w:type="pct"/>
            <w:tcBorders>
              <w:tl2br w:val="nil"/>
              <w:tr2bl w:val="nil"/>
            </w:tcBorders>
            <w:shd w:val="clear" w:color="auto" w:fill="FFFFFF"/>
            <w:noWrap/>
            <w:vAlign w:val="center"/>
          </w:tcPr>
          <w:p w14:paraId="6F2EC5F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tl2br w:val="nil"/>
              <w:tr2bl w:val="nil"/>
            </w:tcBorders>
            <w:shd w:val="clear" w:color="auto" w:fill="FFFFFF"/>
            <w:noWrap/>
            <w:vAlign w:val="center"/>
          </w:tcPr>
          <w:p w14:paraId="706D381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92" w:type="pct"/>
            <w:tcBorders>
              <w:tl2br w:val="nil"/>
              <w:tr2bl w:val="nil"/>
            </w:tcBorders>
            <w:shd w:val="clear" w:color="auto" w:fill="FFFFFF"/>
            <w:noWrap/>
            <w:vAlign w:val="center"/>
          </w:tcPr>
          <w:p w14:paraId="290DE6BC"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1" w:type="pct"/>
            <w:tcBorders>
              <w:tl2br w:val="nil"/>
              <w:tr2bl w:val="nil"/>
            </w:tcBorders>
            <w:shd w:val="clear" w:color="auto" w:fill="FFFFFF"/>
            <w:noWrap/>
            <w:vAlign w:val="center"/>
          </w:tcPr>
          <w:p w14:paraId="15597113"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97" w:type="pct"/>
            <w:tcBorders>
              <w:tl2br w:val="nil"/>
              <w:tr2bl w:val="nil"/>
            </w:tcBorders>
            <w:shd w:val="clear" w:color="auto" w:fill="FFFFFF"/>
            <w:vAlign w:val="center"/>
          </w:tcPr>
          <w:p w14:paraId="235390EA"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87" w:type="pct"/>
            <w:tcBorders>
              <w:tl2br w:val="nil"/>
              <w:tr2bl w:val="nil"/>
            </w:tcBorders>
            <w:shd w:val="clear" w:color="auto" w:fill="FFFFFF"/>
            <w:noWrap/>
            <w:vAlign w:val="center"/>
          </w:tcPr>
          <w:p w14:paraId="57EB1E86"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r>
      <w:tr w:rsidR="0094480D" w14:paraId="65E65894" w14:textId="77777777">
        <w:trPr>
          <w:trHeight w:val="348"/>
        </w:trPr>
        <w:tc>
          <w:tcPr>
            <w:tcW w:w="1218" w:type="pct"/>
            <w:tcBorders>
              <w:bottom w:val="single" w:sz="12" w:space="0" w:color="000000"/>
              <w:tl2br w:val="nil"/>
              <w:tr2bl w:val="nil"/>
            </w:tcBorders>
            <w:shd w:val="clear" w:color="auto" w:fill="FFFFFF"/>
            <w:vAlign w:val="center"/>
          </w:tcPr>
          <w:p w14:paraId="58E69B95" w14:textId="77777777" w:rsidR="0094480D" w:rsidRDefault="002B1EA5">
            <w:pPr>
              <w:widowControl/>
              <w:ind w:firstLineChars="0" w:firstLine="0"/>
              <w:jc w:val="center"/>
              <w:textAlignment w:val="center"/>
              <w:rPr>
                <w:rFonts w:ascii="宋体" w:hAnsi="宋体" w:cs="宋体"/>
                <w:color w:val="000000"/>
                <w:sz w:val="22"/>
                <w:szCs w:val="22"/>
              </w:rPr>
            </w:pPr>
            <w:r>
              <w:rPr>
                <w:rStyle w:val="font21"/>
                <w:rFonts w:hint="default"/>
                <w:sz w:val="22"/>
                <w:szCs w:val="22"/>
                <w:lang w:bidi="ar"/>
              </w:rPr>
              <w:t>企业社会信誉</w:t>
            </w:r>
          </w:p>
        </w:tc>
        <w:tc>
          <w:tcPr>
            <w:tcW w:w="397" w:type="pct"/>
            <w:tcBorders>
              <w:bottom w:val="single" w:sz="12" w:space="0" w:color="000000"/>
              <w:tl2br w:val="nil"/>
              <w:tr2bl w:val="nil"/>
            </w:tcBorders>
            <w:shd w:val="clear" w:color="auto" w:fill="FFFFFF"/>
            <w:noWrap/>
            <w:vAlign w:val="center"/>
          </w:tcPr>
          <w:p w14:paraId="21EB7D4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77" w:type="pct"/>
            <w:tcBorders>
              <w:bottom w:val="single" w:sz="12" w:space="0" w:color="000000"/>
              <w:tl2br w:val="nil"/>
              <w:tr2bl w:val="nil"/>
            </w:tcBorders>
            <w:shd w:val="clear" w:color="auto" w:fill="FFFFFF"/>
            <w:noWrap/>
            <w:vAlign w:val="center"/>
          </w:tcPr>
          <w:p w14:paraId="6231873F"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bottom w:val="single" w:sz="12" w:space="0" w:color="000000"/>
              <w:tl2br w:val="nil"/>
              <w:tr2bl w:val="nil"/>
            </w:tcBorders>
            <w:shd w:val="clear" w:color="auto" w:fill="FFFFFF"/>
            <w:noWrap/>
            <w:vAlign w:val="center"/>
          </w:tcPr>
          <w:p w14:paraId="211E6B28"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57" w:type="pct"/>
            <w:tcBorders>
              <w:bottom w:val="single" w:sz="12" w:space="0" w:color="000000"/>
              <w:tl2br w:val="nil"/>
              <w:tr2bl w:val="nil"/>
            </w:tcBorders>
            <w:shd w:val="clear" w:color="auto" w:fill="FFFFFF"/>
            <w:noWrap/>
            <w:vAlign w:val="center"/>
          </w:tcPr>
          <w:p w14:paraId="2701AD4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7" w:type="pct"/>
            <w:tcBorders>
              <w:bottom w:val="single" w:sz="12" w:space="0" w:color="000000"/>
              <w:tl2br w:val="nil"/>
              <w:tr2bl w:val="nil"/>
            </w:tcBorders>
            <w:shd w:val="clear" w:color="auto" w:fill="FFFFFF"/>
            <w:noWrap/>
            <w:vAlign w:val="center"/>
          </w:tcPr>
          <w:p w14:paraId="06607AA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46" w:type="pct"/>
            <w:tcBorders>
              <w:bottom w:val="single" w:sz="12" w:space="0" w:color="000000"/>
              <w:tl2br w:val="nil"/>
              <w:tr2bl w:val="nil"/>
            </w:tcBorders>
            <w:shd w:val="clear" w:color="auto" w:fill="FFFFFF"/>
            <w:noWrap/>
            <w:vAlign w:val="center"/>
          </w:tcPr>
          <w:p w14:paraId="3E4DD239"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92" w:type="pct"/>
            <w:tcBorders>
              <w:bottom w:val="single" w:sz="12" w:space="0" w:color="000000"/>
              <w:tl2br w:val="nil"/>
              <w:tr2bl w:val="nil"/>
            </w:tcBorders>
            <w:shd w:val="clear" w:color="auto" w:fill="FFFFFF"/>
            <w:noWrap/>
            <w:vAlign w:val="center"/>
          </w:tcPr>
          <w:p w14:paraId="4A86BD1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71" w:type="pct"/>
            <w:tcBorders>
              <w:bottom w:val="single" w:sz="12" w:space="0" w:color="000000"/>
              <w:tl2br w:val="nil"/>
              <w:tr2bl w:val="nil"/>
            </w:tcBorders>
            <w:shd w:val="clear" w:color="auto" w:fill="FFFFFF"/>
            <w:noWrap/>
            <w:vAlign w:val="center"/>
          </w:tcPr>
          <w:p w14:paraId="2E10A972"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397" w:type="pct"/>
            <w:tcBorders>
              <w:bottom w:val="single" w:sz="12" w:space="0" w:color="000000"/>
              <w:tl2br w:val="nil"/>
              <w:tr2bl w:val="nil"/>
            </w:tcBorders>
            <w:shd w:val="clear" w:color="auto" w:fill="FFFFFF"/>
            <w:noWrap/>
            <w:vAlign w:val="center"/>
          </w:tcPr>
          <w:p w14:paraId="50413395"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387" w:type="pct"/>
            <w:tcBorders>
              <w:bottom w:val="single" w:sz="12" w:space="0" w:color="000000"/>
              <w:tl2br w:val="nil"/>
              <w:tr2bl w:val="nil"/>
            </w:tcBorders>
            <w:shd w:val="clear" w:color="auto" w:fill="FFFFFF"/>
            <w:noWrap/>
            <w:vAlign w:val="center"/>
          </w:tcPr>
          <w:p w14:paraId="7064CBAB" w14:textId="77777777" w:rsidR="0094480D" w:rsidRDefault="002B1EA5">
            <w:pPr>
              <w:widowControl/>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r>
    </w:tbl>
    <w:p w14:paraId="50E1108A" w14:textId="77777777" w:rsidR="0094480D" w:rsidRDefault="002B1EA5">
      <w:pPr>
        <w:ind w:firstLine="480"/>
        <w:rPr>
          <w:sz w:val="24"/>
          <w:szCs w:val="22"/>
        </w:rPr>
      </w:pPr>
      <w:r>
        <w:rPr>
          <w:rFonts w:hint="eastAsia"/>
          <w:sz w:val="24"/>
          <w:szCs w:val="22"/>
        </w:rPr>
        <w:t>同理，使用</w:t>
      </w:r>
      <w:r>
        <w:rPr>
          <w:rFonts w:hint="eastAsia"/>
          <w:sz w:val="24"/>
          <w:szCs w:val="22"/>
        </w:rPr>
        <w:t>SPSS</w:t>
      </w:r>
      <w:r>
        <w:rPr>
          <w:rFonts w:hint="eastAsia"/>
          <w:sz w:val="24"/>
          <w:szCs w:val="22"/>
        </w:rPr>
        <w:t>软件，使用构建的模型计算二级指标关联度及权重。如表</w:t>
      </w:r>
      <w:r>
        <w:rPr>
          <w:rFonts w:hint="eastAsia"/>
          <w:sz w:val="24"/>
          <w:szCs w:val="22"/>
        </w:rPr>
        <w:t>6</w:t>
      </w:r>
      <w:r>
        <w:rPr>
          <w:rFonts w:hint="eastAsia"/>
          <w:sz w:val="24"/>
          <w:szCs w:val="22"/>
        </w:rPr>
        <w:t>所示：</w:t>
      </w:r>
    </w:p>
    <w:p w14:paraId="654451C0" w14:textId="77777777" w:rsidR="0094480D" w:rsidRDefault="002B1EA5">
      <w:pPr>
        <w:ind w:firstLineChars="0" w:firstLine="0"/>
        <w:jc w:val="center"/>
      </w:pPr>
      <w:r>
        <w:rPr>
          <w:rFonts w:hint="eastAsia"/>
        </w:rPr>
        <w:t>表</w:t>
      </w:r>
      <w:r>
        <w:rPr>
          <w:rFonts w:hint="eastAsia"/>
        </w:rPr>
        <w:t xml:space="preserve">6 </w:t>
      </w:r>
      <w:r>
        <w:rPr>
          <w:rFonts w:hint="eastAsia"/>
        </w:rPr>
        <w:t>二级指标关联度及权重</w:t>
      </w:r>
    </w:p>
    <w:tbl>
      <w:tblPr>
        <w:tblW w:w="8426" w:type="dxa"/>
        <w:tblInd w:w="96" w:type="dxa"/>
        <w:tblBorders>
          <w:top w:val="single" w:sz="8" w:space="0" w:color="auto"/>
          <w:bottom w:val="single" w:sz="8" w:space="0" w:color="auto"/>
        </w:tblBorders>
        <w:tblLayout w:type="fixed"/>
        <w:tblLook w:val="04A0" w:firstRow="1" w:lastRow="0" w:firstColumn="1" w:lastColumn="0" w:noHBand="0" w:noVBand="1"/>
      </w:tblPr>
      <w:tblGrid>
        <w:gridCol w:w="1277"/>
        <w:gridCol w:w="1286"/>
        <w:gridCol w:w="1380"/>
        <w:gridCol w:w="1654"/>
        <w:gridCol w:w="1252"/>
        <w:gridCol w:w="1577"/>
      </w:tblGrid>
      <w:tr w:rsidR="0094480D" w14:paraId="471F0B16" w14:textId="77777777">
        <w:trPr>
          <w:trHeight w:val="624"/>
        </w:trPr>
        <w:tc>
          <w:tcPr>
            <w:tcW w:w="1277" w:type="dxa"/>
            <w:tcBorders>
              <w:top w:val="single" w:sz="12" w:space="0" w:color="000000"/>
              <w:bottom w:val="single" w:sz="4" w:space="0" w:color="000000"/>
              <w:tl2br w:val="nil"/>
            </w:tcBorders>
            <w:shd w:val="clear" w:color="auto" w:fill="FFFFFF"/>
            <w:noWrap/>
            <w:vAlign w:val="center"/>
          </w:tcPr>
          <w:p w14:paraId="090127DE"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二级指标</w:t>
            </w:r>
          </w:p>
        </w:tc>
        <w:tc>
          <w:tcPr>
            <w:tcW w:w="1286" w:type="dxa"/>
            <w:tcBorders>
              <w:top w:val="single" w:sz="12" w:space="0" w:color="000000"/>
              <w:bottom w:val="single" w:sz="4" w:space="0" w:color="000000"/>
            </w:tcBorders>
            <w:shd w:val="clear" w:color="auto" w:fill="FFFFFF"/>
            <w:vAlign w:val="center"/>
          </w:tcPr>
          <w:p w14:paraId="0C631F75"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能源消耗量</w:t>
            </w:r>
          </w:p>
        </w:tc>
        <w:tc>
          <w:tcPr>
            <w:tcW w:w="1380" w:type="dxa"/>
            <w:tcBorders>
              <w:top w:val="single" w:sz="12" w:space="0" w:color="000000"/>
              <w:bottom w:val="single" w:sz="4" w:space="0" w:color="000000"/>
            </w:tcBorders>
            <w:shd w:val="clear" w:color="auto" w:fill="FFFFFF"/>
            <w:vAlign w:val="center"/>
          </w:tcPr>
          <w:p w14:paraId="51BA7AA2"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废物排放量</w:t>
            </w:r>
          </w:p>
        </w:tc>
        <w:tc>
          <w:tcPr>
            <w:tcW w:w="1654" w:type="dxa"/>
            <w:tcBorders>
              <w:top w:val="single" w:sz="12" w:space="0" w:color="000000"/>
              <w:bottom w:val="single" w:sz="4" w:space="0" w:color="000000"/>
            </w:tcBorders>
            <w:shd w:val="clear" w:color="auto" w:fill="FFFFFF"/>
            <w:vAlign w:val="center"/>
          </w:tcPr>
          <w:p w14:paraId="79FF7C5A"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排放物的处理</w:t>
            </w:r>
          </w:p>
        </w:tc>
        <w:tc>
          <w:tcPr>
            <w:tcW w:w="1252" w:type="dxa"/>
            <w:tcBorders>
              <w:top w:val="single" w:sz="12" w:space="0" w:color="000000"/>
              <w:bottom w:val="single" w:sz="4" w:space="0" w:color="000000"/>
            </w:tcBorders>
            <w:shd w:val="clear" w:color="auto" w:fill="FFFFFF"/>
            <w:vAlign w:val="center"/>
          </w:tcPr>
          <w:p w14:paraId="5952914A"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循环利用率</w:t>
            </w:r>
          </w:p>
        </w:tc>
        <w:tc>
          <w:tcPr>
            <w:tcW w:w="1577" w:type="dxa"/>
            <w:tcBorders>
              <w:top w:val="single" w:sz="12" w:space="0" w:color="000000"/>
              <w:bottom w:val="single" w:sz="4" w:space="0" w:color="000000"/>
            </w:tcBorders>
            <w:shd w:val="clear" w:color="auto" w:fill="FFFFFF"/>
            <w:vAlign w:val="center"/>
          </w:tcPr>
          <w:p w14:paraId="4F9CA2D1"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排放物的污染程度</w:t>
            </w:r>
          </w:p>
        </w:tc>
      </w:tr>
      <w:tr w:rsidR="0094480D" w14:paraId="599EF7E5" w14:textId="77777777">
        <w:trPr>
          <w:trHeight w:val="348"/>
        </w:trPr>
        <w:tc>
          <w:tcPr>
            <w:tcW w:w="1277" w:type="dxa"/>
            <w:tcBorders>
              <w:top w:val="single" w:sz="4" w:space="0" w:color="000000"/>
              <w:tl2br w:val="nil"/>
              <w:tr2bl w:val="nil"/>
            </w:tcBorders>
            <w:shd w:val="clear" w:color="auto" w:fill="FFFFFF"/>
            <w:noWrap/>
            <w:vAlign w:val="center"/>
          </w:tcPr>
          <w:p w14:paraId="0CF918B2"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关联度</w:t>
            </w:r>
          </w:p>
        </w:tc>
        <w:tc>
          <w:tcPr>
            <w:tcW w:w="1286" w:type="dxa"/>
            <w:tcBorders>
              <w:top w:val="single" w:sz="4" w:space="0" w:color="000000"/>
              <w:tl2br w:val="nil"/>
              <w:tr2bl w:val="nil"/>
            </w:tcBorders>
            <w:shd w:val="clear" w:color="auto" w:fill="FFFFFF"/>
            <w:noWrap/>
            <w:vAlign w:val="center"/>
          </w:tcPr>
          <w:p w14:paraId="4B352600"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0.6189</w:t>
            </w:r>
          </w:p>
        </w:tc>
        <w:tc>
          <w:tcPr>
            <w:tcW w:w="1380" w:type="dxa"/>
            <w:tcBorders>
              <w:top w:val="single" w:sz="4" w:space="0" w:color="000000"/>
              <w:tl2br w:val="nil"/>
              <w:tr2bl w:val="nil"/>
            </w:tcBorders>
            <w:shd w:val="clear" w:color="auto" w:fill="FFFFFF"/>
            <w:noWrap/>
            <w:vAlign w:val="center"/>
          </w:tcPr>
          <w:p w14:paraId="50FFB6D3"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0.7011</w:t>
            </w:r>
          </w:p>
        </w:tc>
        <w:tc>
          <w:tcPr>
            <w:tcW w:w="1654" w:type="dxa"/>
            <w:tcBorders>
              <w:top w:val="single" w:sz="4" w:space="0" w:color="000000"/>
              <w:tl2br w:val="nil"/>
              <w:tr2bl w:val="nil"/>
            </w:tcBorders>
            <w:shd w:val="clear" w:color="auto" w:fill="FFFFFF"/>
            <w:vAlign w:val="center"/>
          </w:tcPr>
          <w:p w14:paraId="7D159AE9"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0.6271</w:t>
            </w:r>
          </w:p>
        </w:tc>
        <w:tc>
          <w:tcPr>
            <w:tcW w:w="1252" w:type="dxa"/>
            <w:tcBorders>
              <w:top w:val="single" w:sz="4" w:space="0" w:color="000000"/>
              <w:tl2br w:val="nil"/>
              <w:tr2bl w:val="nil"/>
            </w:tcBorders>
            <w:shd w:val="clear" w:color="auto" w:fill="FFFFFF"/>
            <w:noWrap/>
            <w:vAlign w:val="center"/>
          </w:tcPr>
          <w:p w14:paraId="40E4C9D1"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0.6505</w:t>
            </w:r>
          </w:p>
        </w:tc>
        <w:tc>
          <w:tcPr>
            <w:tcW w:w="1577" w:type="dxa"/>
            <w:tcBorders>
              <w:top w:val="single" w:sz="4" w:space="0" w:color="000000"/>
              <w:tl2br w:val="nil"/>
              <w:tr2bl w:val="nil"/>
            </w:tcBorders>
            <w:shd w:val="clear" w:color="auto" w:fill="FFFFFF"/>
            <w:noWrap/>
            <w:vAlign w:val="center"/>
          </w:tcPr>
          <w:p w14:paraId="241F236E"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0.6817</w:t>
            </w:r>
          </w:p>
        </w:tc>
      </w:tr>
      <w:tr w:rsidR="0094480D" w14:paraId="39A657F4" w14:textId="77777777">
        <w:trPr>
          <w:trHeight w:val="348"/>
        </w:trPr>
        <w:tc>
          <w:tcPr>
            <w:tcW w:w="1277" w:type="dxa"/>
            <w:tcBorders>
              <w:tl2br w:val="nil"/>
              <w:tr2bl w:val="nil"/>
            </w:tcBorders>
            <w:shd w:val="clear" w:color="auto" w:fill="FFFFFF"/>
            <w:noWrap/>
            <w:vAlign w:val="center"/>
          </w:tcPr>
          <w:p w14:paraId="4298EA3A"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权重</w:t>
            </w:r>
          </w:p>
        </w:tc>
        <w:tc>
          <w:tcPr>
            <w:tcW w:w="1286" w:type="dxa"/>
            <w:tcBorders>
              <w:tl2br w:val="nil"/>
              <w:tr2bl w:val="nil"/>
            </w:tcBorders>
            <w:shd w:val="clear" w:color="auto" w:fill="FFFFFF"/>
            <w:noWrap/>
            <w:vAlign w:val="center"/>
          </w:tcPr>
          <w:p w14:paraId="7F5E8B55"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0.2310</w:t>
            </w:r>
          </w:p>
        </w:tc>
        <w:tc>
          <w:tcPr>
            <w:tcW w:w="1380" w:type="dxa"/>
            <w:tcBorders>
              <w:tl2br w:val="nil"/>
              <w:tr2bl w:val="nil"/>
            </w:tcBorders>
            <w:shd w:val="clear" w:color="auto" w:fill="FFFFFF"/>
            <w:noWrap/>
            <w:vAlign w:val="center"/>
          </w:tcPr>
          <w:p w14:paraId="69143B08"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0.2001</w:t>
            </w:r>
          </w:p>
        </w:tc>
        <w:tc>
          <w:tcPr>
            <w:tcW w:w="1654" w:type="dxa"/>
            <w:tcBorders>
              <w:tl2br w:val="nil"/>
              <w:tr2bl w:val="nil"/>
            </w:tcBorders>
            <w:shd w:val="clear" w:color="auto" w:fill="FFFFFF"/>
            <w:vAlign w:val="center"/>
          </w:tcPr>
          <w:p w14:paraId="48298530"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0.1892</w:t>
            </w:r>
          </w:p>
        </w:tc>
        <w:tc>
          <w:tcPr>
            <w:tcW w:w="1252" w:type="dxa"/>
            <w:tcBorders>
              <w:tl2br w:val="nil"/>
              <w:tr2bl w:val="nil"/>
            </w:tcBorders>
            <w:shd w:val="clear" w:color="auto" w:fill="FFFFFF"/>
            <w:noWrap/>
            <w:vAlign w:val="center"/>
          </w:tcPr>
          <w:p w14:paraId="7BE74FC3"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0.1726</w:t>
            </w:r>
          </w:p>
        </w:tc>
        <w:tc>
          <w:tcPr>
            <w:tcW w:w="1577" w:type="dxa"/>
            <w:tcBorders>
              <w:tl2br w:val="nil"/>
              <w:tr2bl w:val="nil"/>
            </w:tcBorders>
            <w:shd w:val="clear" w:color="auto" w:fill="FFFFFF"/>
            <w:noWrap/>
            <w:vAlign w:val="center"/>
          </w:tcPr>
          <w:p w14:paraId="73EBD70F"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0.2071</w:t>
            </w:r>
          </w:p>
        </w:tc>
      </w:tr>
      <w:tr w:rsidR="0094480D" w14:paraId="69EF9507" w14:textId="77777777">
        <w:trPr>
          <w:trHeight w:val="624"/>
        </w:trPr>
        <w:tc>
          <w:tcPr>
            <w:tcW w:w="1277" w:type="dxa"/>
            <w:tcBorders>
              <w:tl2br w:val="nil"/>
              <w:tr2bl w:val="nil"/>
            </w:tcBorders>
            <w:shd w:val="clear" w:color="auto" w:fill="FFFFFF"/>
            <w:noWrap/>
            <w:vAlign w:val="center"/>
          </w:tcPr>
          <w:p w14:paraId="3D890F12"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二级指标</w:t>
            </w:r>
          </w:p>
        </w:tc>
        <w:tc>
          <w:tcPr>
            <w:tcW w:w="1286" w:type="dxa"/>
            <w:tcBorders>
              <w:tl2br w:val="nil"/>
              <w:tr2bl w:val="nil"/>
            </w:tcBorders>
            <w:shd w:val="clear" w:color="auto" w:fill="FFFFFF"/>
            <w:vAlign w:val="center"/>
          </w:tcPr>
          <w:p w14:paraId="4E1400CD"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成本效益</w:t>
            </w:r>
          </w:p>
        </w:tc>
        <w:tc>
          <w:tcPr>
            <w:tcW w:w="1380" w:type="dxa"/>
            <w:tcBorders>
              <w:tl2br w:val="nil"/>
              <w:tr2bl w:val="nil"/>
            </w:tcBorders>
            <w:shd w:val="clear" w:color="auto" w:fill="FFFFFF"/>
            <w:vAlign w:val="center"/>
          </w:tcPr>
          <w:p w14:paraId="706F9B73"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投资回报率</w:t>
            </w:r>
          </w:p>
        </w:tc>
        <w:tc>
          <w:tcPr>
            <w:tcW w:w="1654" w:type="dxa"/>
            <w:tcBorders>
              <w:tl2br w:val="nil"/>
              <w:tr2bl w:val="nil"/>
            </w:tcBorders>
            <w:shd w:val="clear" w:color="auto" w:fill="FFFFFF"/>
            <w:vAlign w:val="center"/>
          </w:tcPr>
          <w:p w14:paraId="04AB88F6"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市场竞争力</w:t>
            </w:r>
          </w:p>
        </w:tc>
        <w:tc>
          <w:tcPr>
            <w:tcW w:w="1252" w:type="dxa"/>
            <w:tcBorders>
              <w:tl2br w:val="nil"/>
              <w:tr2bl w:val="nil"/>
            </w:tcBorders>
            <w:shd w:val="clear" w:color="auto" w:fill="FFFFFF"/>
            <w:vAlign w:val="center"/>
          </w:tcPr>
          <w:p w14:paraId="43B1F459"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经济增长潜力</w:t>
            </w:r>
          </w:p>
        </w:tc>
        <w:tc>
          <w:tcPr>
            <w:tcW w:w="1577" w:type="dxa"/>
            <w:tcBorders>
              <w:tl2br w:val="nil"/>
              <w:tr2bl w:val="nil"/>
            </w:tcBorders>
            <w:shd w:val="clear" w:color="auto" w:fill="FFFFFF"/>
            <w:vAlign w:val="center"/>
          </w:tcPr>
          <w:p w14:paraId="1CF7CFE7"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盈利能力</w:t>
            </w:r>
          </w:p>
        </w:tc>
      </w:tr>
      <w:tr w:rsidR="0094480D" w14:paraId="6B89299E" w14:textId="77777777">
        <w:trPr>
          <w:trHeight w:val="348"/>
        </w:trPr>
        <w:tc>
          <w:tcPr>
            <w:tcW w:w="1277" w:type="dxa"/>
            <w:tcBorders>
              <w:tl2br w:val="nil"/>
              <w:tr2bl w:val="nil"/>
            </w:tcBorders>
            <w:shd w:val="clear" w:color="auto" w:fill="FFFFFF"/>
            <w:noWrap/>
            <w:vAlign w:val="center"/>
          </w:tcPr>
          <w:p w14:paraId="27350BA8"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关联度</w:t>
            </w:r>
          </w:p>
        </w:tc>
        <w:tc>
          <w:tcPr>
            <w:tcW w:w="1286" w:type="dxa"/>
            <w:tcBorders>
              <w:tl2br w:val="nil"/>
              <w:tr2bl w:val="nil"/>
            </w:tcBorders>
            <w:shd w:val="clear" w:color="auto" w:fill="FFFFFF"/>
            <w:noWrap/>
            <w:vAlign w:val="center"/>
          </w:tcPr>
          <w:p w14:paraId="390CE4E7"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0.6721</w:t>
            </w:r>
          </w:p>
        </w:tc>
        <w:tc>
          <w:tcPr>
            <w:tcW w:w="1380" w:type="dxa"/>
            <w:tcBorders>
              <w:tl2br w:val="nil"/>
              <w:tr2bl w:val="nil"/>
            </w:tcBorders>
            <w:shd w:val="clear" w:color="auto" w:fill="FFFFFF"/>
            <w:noWrap/>
            <w:vAlign w:val="center"/>
          </w:tcPr>
          <w:p w14:paraId="3EB64696"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0.7018</w:t>
            </w:r>
          </w:p>
        </w:tc>
        <w:tc>
          <w:tcPr>
            <w:tcW w:w="1654" w:type="dxa"/>
            <w:tcBorders>
              <w:tl2br w:val="nil"/>
              <w:tr2bl w:val="nil"/>
            </w:tcBorders>
            <w:shd w:val="clear" w:color="auto" w:fill="FFFFFF"/>
            <w:vAlign w:val="center"/>
          </w:tcPr>
          <w:p w14:paraId="71BECC12"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0.6781</w:t>
            </w:r>
          </w:p>
        </w:tc>
        <w:tc>
          <w:tcPr>
            <w:tcW w:w="1252" w:type="dxa"/>
            <w:tcBorders>
              <w:tl2br w:val="nil"/>
              <w:tr2bl w:val="nil"/>
            </w:tcBorders>
            <w:shd w:val="clear" w:color="auto" w:fill="FFFFFF"/>
            <w:noWrap/>
            <w:vAlign w:val="center"/>
          </w:tcPr>
          <w:p w14:paraId="3FA7B7BD"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0.6055</w:t>
            </w:r>
          </w:p>
        </w:tc>
        <w:tc>
          <w:tcPr>
            <w:tcW w:w="1577" w:type="dxa"/>
            <w:tcBorders>
              <w:tl2br w:val="nil"/>
              <w:tr2bl w:val="nil"/>
            </w:tcBorders>
            <w:shd w:val="clear" w:color="auto" w:fill="FFFFFF"/>
            <w:noWrap/>
            <w:vAlign w:val="center"/>
          </w:tcPr>
          <w:p w14:paraId="2040A867"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0.6243</w:t>
            </w:r>
          </w:p>
        </w:tc>
      </w:tr>
      <w:tr w:rsidR="0094480D" w14:paraId="5A8F8E4B" w14:textId="77777777">
        <w:trPr>
          <w:trHeight w:val="348"/>
        </w:trPr>
        <w:tc>
          <w:tcPr>
            <w:tcW w:w="1277" w:type="dxa"/>
            <w:tcBorders>
              <w:tl2br w:val="nil"/>
              <w:tr2bl w:val="nil"/>
            </w:tcBorders>
            <w:shd w:val="clear" w:color="auto" w:fill="FFFFFF"/>
            <w:noWrap/>
            <w:vAlign w:val="center"/>
          </w:tcPr>
          <w:p w14:paraId="080E8711"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权重</w:t>
            </w:r>
          </w:p>
        </w:tc>
        <w:tc>
          <w:tcPr>
            <w:tcW w:w="1286" w:type="dxa"/>
            <w:tcBorders>
              <w:tl2br w:val="nil"/>
              <w:tr2bl w:val="nil"/>
            </w:tcBorders>
            <w:shd w:val="clear" w:color="auto" w:fill="FFFFFF"/>
            <w:noWrap/>
            <w:vAlign w:val="center"/>
          </w:tcPr>
          <w:p w14:paraId="3060439C"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0.2451</w:t>
            </w:r>
          </w:p>
        </w:tc>
        <w:tc>
          <w:tcPr>
            <w:tcW w:w="1380" w:type="dxa"/>
            <w:tcBorders>
              <w:tl2br w:val="nil"/>
              <w:tr2bl w:val="nil"/>
            </w:tcBorders>
            <w:shd w:val="clear" w:color="auto" w:fill="FFFFFF"/>
            <w:noWrap/>
            <w:vAlign w:val="center"/>
          </w:tcPr>
          <w:p w14:paraId="780E867E"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0.1983</w:t>
            </w:r>
          </w:p>
        </w:tc>
        <w:tc>
          <w:tcPr>
            <w:tcW w:w="1654" w:type="dxa"/>
            <w:tcBorders>
              <w:tl2br w:val="nil"/>
              <w:tr2bl w:val="nil"/>
            </w:tcBorders>
            <w:shd w:val="clear" w:color="auto" w:fill="FFFFFF"/>
            <w:vAlign w:val="center"/>
          </w:tcPr>
          <w:p w14:paraId="604A9345"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0.1734</w:t>
            </w:r>
          </w:p>
        </w:tc>
        <w:tc>
          <w:tcPr>
            <w:tcW w:w="1252" w:type="dxa"/>
            <w:tcBorders>
              <w:tl2br w:val="nil"/>
              <w:tr2bl w:val="nil"/>
            </w:tcBorders>
            <w:shd w:val="clear" w:color="auto" w:fill="FFFFFF"/>
            <w:noWrap/>
            <w:vAlign w:val="center"/>
          </w:tcPr>
          <w:p w14:paraId="2800B5E1"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0.1821</w:t>
            </w:r>
          </w:p>
        </w:tc>
        <w:tc>
          <w:tcPr>
            <w:tcW w:w="1577" w:type="dxa"/>
            <w:tcBorders>
              <w:tl2br w:val="nil"/>
              <w:tr2bl w:val="nil"/>
            </w:tcBorders>
            <w:shd w:val="clear" w:color="auto" w:fill="FFFFFF"/>
            <w:noWrap/>
            <w:vAlign w:val="center"/>
          </w:tcPr>
          <w:p w14:paraId="3E4E3D39"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0.2011</w:t>
            </w:r>
          </w:p>
        </w:tc>
      </w:tr>
      <w:tr w:rsidR="0094480D" w14:paraId="3501BF1F" w14:textId="77777777">
        <w:trPr>
          <w:trHeight w:val="936"/>
        </w:trPr>
        <w:tc>
          <w:tcPr>
            <w:tcW w:w="1277" w:type="dxa"/>
            <w:tcBorders>
              <w:tl2br w:val="nil"/>
              <w:tr2bl w:val="nil"/>
            </w:tcBorders>
            <w:shd w:val="clear" w:color="auto" w:fill="FFFFFF"/>
            <w:noWrap/>
            <w:vAlign w:val="center"/>
          </w:tcPr>
          <w:p w14:paraId="5052C43D"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二级指标</w:t>
            </w:r>
          </w:p>
        </w:tc>
        <w:tc>
          <w:tcPr>
            <w:tcW w:w="1286" w:type="dxa"/>
            <w:tcBorders>
              <w:tl2br w:val="nil"/>
              <w:tr2bl w:val="nil"/>
            </w:tcBorders>
            <w:shd w:val="clear" w:color="auto" w:fill="FFFFFF"/>
            <w:vAlign w:val="center"/>
          </w:tcPr>
          <w:p w14:paraId="123F2EB5"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对就业的贡献</w:t>
            </w:r>
          </w:p>
        </w:tc>
        <w:tc>
          <w:tcPr>
            <w:tcW w:w="1380" w:type="dxa"/>
            <w:tcBorders>
              <w:tl2br w:val="nil"/>
              <w:tr2bl w:val="nil"/>
            </w:tcBorders>
            <w:shd w:val="clear" w:color="auto" w:fill="FFFFFF"/>
            <w:vAlign w:val="center"/>
          </w:tcPr>
          <w:p w14:paraId="1CEF815D"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社区参与和支持</w:t>
            </w:r>
          </w:p>
        </w:tc>
        <w:tc>
          <w:tcPr>
            <w:tcW w:w="1654" w:type="dxa"/>
            <w:tcBorders>
              <w:tl2br w:val="nil"/>
              <w:tr2bl w:val="nil"/>
            </w:tcBorders>
            <w:shd w:val="clear" w:color="auto" w:fill="FFFFFF"/>
            <w:vAlign w:val="center"/>
          </w:tcPr>
          <w:p w14:paraId="2B429BB0"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工作场所安全</w:t>
            </w:r>
          </w:p>
        </w:tc>
        <w:tc>
          <w:tcPr>
            <w:tcW w:w="1252" w:type="dxa"/>
            <w:tcBorders>
              <w:tl2br w:val="nil"/>
              <w:tr2bl w:val="nil"/>
            </w:tcBorders>
            <w:shd w:val="clear" w:color="auto" w:fill="FFFFFF"/>
            <w:vAlign w:val="center"/>
          </w:tcPr>
          <w:p w14:paraId="355B6CAE"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员工福利</w:t>
            </w:r>
          </w:p>
        </w:tc>
        <w:tc>
          <w:tcPr>
            <w:tcW w:w="1577" w:type="dxa"/>
            <w:tcBorders>
              <w:tl2br w:val="nil"/>
              <w:tr2bl w:val="nil"/>
            </w:tcBorders>
            <w:shd w:val="clear" w:color="auto" w:fill="FFFFFF"/>
            <w:vAlign w:val="center"/>
          </w:tcPr>
          <w:p w14:paraId="0F651C77"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企业社会信誉</w:t>
            </w:r>
          </w:p>
        </w:tc>
      </w:tr>
      <w:tr w:rsidR="0094480D" w14:paraId="446D79A9" w14:textId="77777777">
        <w:trPr>
          <w:trHeight w:val="348"/>
        </w:trPr>
        <w:tc>
          <w:tcPr>
            <w:tcW w:w="1277" w:type="dxa"/>
            <w:tcBorders>
              <w:tl2br w:val="nil"/>
              <w:tr2bl w:val="nil"/>
            </w:tcBorders>
            <w:shd w:val="clear" w:color="auto" w:fill="FFFFFF"/>
            <w:noWrap/>
            <w:vAlign w:val="center"/>
          </w:tcPr>
          <w:p w14:paraId="1F0DE374"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关联度</w:t>
            </w:r>
          </w:p>
        </w:tc>
        <w:tc>
          <w:tcPr>
            <w:tcW w:w="1286" w:type="dxa"/>
            <w:tcBorders>
              <w:tl2br w:val="nil"/>
              <w:tr2bl w:val="nil"/>
            </w:tcBorders>
            <w:shd w:val="clear" w:color="auto" w:fill="FFFFFF"/>
            <w:noWrap/>
            <w:vAlign w:val="center"/>
          </w:tcPr>
          <w:p w14:paraId="72DB8EC9"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0.5983</w:t>
            </w:r>
          </w:p>
        </w:tc>
        <w:tc>
          <w:tcPr>
            <w:tcW w:w="1380" w:type="dxa"/>
            <w:tcBorders>
              <w:tl2br w:val="nil"/>
              <w:tr2bl w:val="nil"/>
            </w:tcBorders>
            <w:shd w:val="clear" w:color="auto" w:fill="FFFFFF"/>
            <w:noWrap/>
            <w:vAlign w:val="center"/>
          </w:tcPr>
          <w:p w14:paraId="6C01B751"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0.6091</w:t>
            </w:r>
          </w:p>
        </w:tc>
        <w:tc>
          <w:tcPr>
            <w:tcW w:w="1654" w:type="dxa"/>
            <w:tcBorders>
              <w:tl2br w:val="nil"/>
              <w:tr2bl w:val="nil"/>
            </w:tcBorders>
            <w:shd w:val="clear" w:color="auto" w:fill="FFFFFF"/>
            <w:vAlign w:val="center"/>
          </w:tcPr>
          <w:p w14:paraId="18E299D6"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0.7011</w:t>
            </w:r>
          </w:p>
        </w:tc>
        <w:tc>
          <w:tcPr>
            <w:tcW w:w="1252" w:type="dxa"/>
            <w:tcBorders>
              <w:tl2br w:val="nil"/>
              <w:tr2bl w:val="nil"/>
            </w:tcBorders>
            <w:shd w:val="clear" w:color="auto" w:fill="FFFFFF"/>
            <w:noWrap/>
            <w:vAlign w:val="center"/>
          </w:tcPr>
          <w:p w14:paraId="48346083"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0.7021</w:t>
            </w:r>
          </w:p>
        </w:tc>
        <w:tc>
          <w:tcPr>
            <w:tcW w:w="1577" w:type="dxa"/>
            <w:tcBorders>
              <w:tl2br w:val="nil"/>
              <w:tr2bl w:val="nil"/>
            </w:tcBorders>
            <w:shd w:val="clear" w:color="auto" w:fill="FFFFFF"/>
            <w:noWrap/>
            <w:vAlign w:val="center"/>
          </w:tcPr>
          <w:p w14:paraId="1C675D28"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0.6822</w:t>
            </w:r>
          </w:p>
        </w:tc>
      </w:tr>
      <w:tr w:rsidR="0094480D" w14:paraId="40A5C440" w14:textId="77777777">
        <w:trPr>
          <w:trHeight w:val="348"/>
        </w:trPr>
        <w:tc>
          <w:tcPr>
            <w:tcW w:w="1277" w:type="dxa"/>
            <w:tcBorders>
              <w:bottom w:val="single" w:sz="12" w:space="0" w:color="000000"/>
              <w:tl2br w:val="nil"/>
              <w:tr2bl w:val="nil"/>
            </w:tcBorders>
            <w:shd w:val="clear" w:color="auto" w:fill="FFFFFF"/>
            <w:noWrap/>
            <w:vAlign w:val="center"/>
          </w:tcPr>
          <w:p w14:paraId="36E10FBA"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权重</w:t>
            </w:r>
          </w:p>
        </w:tc>
        <w:tc>
          <w:tcPr>
            <w:tcW w:w="1286" w:type="dxa"/>
            <w:tcBorders>
              <w:bottom w:val="single" w:sz="12" w:space="0" w:color="000000"/>
              <w:tl2br w:val="nil"/>
              <w:tr2bl w:val="nil"/>
            </w:tcBorders>
            <w:shd w:val="clear" w:color="auto" w:fill="FFFFFF"/>
            <w:noWrap/>
            <w:vAlign w:val="center"/>
          </w:tcPr>
          <w:p w14:paraId="73252969"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0.1582</w:t>
            </w:r>
          </w:p>
        </w:tc>
        <w:tc>
          <w:tcPr>
            <w:tcW w:w="1380" w:type="dxa"/>
            <w:tcBorders>
              <w:bottom w:val="single" w:sz="12" w:space="0" w:color="000000"/>
              <w:tl2br w:val="nil"/>
              <w:tr2bl w:val="nil"/>
            </w:tcBorders>
            <w:shd w:val="clear" w:color="auto" w:fill="FFFFFF"/>
            <w:noWrap/>
            <w:vAlign w:val="center"/>
          </w:tcPr>
          <w:p w14:paraId="73B28EFD"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0.1679</w:t>
            </w:r>
          </w:p>
        </w:tc>
        <w:tc>
          <w:tcPr>
            <w:tcW w:w="1654" w:type="dxa"/>
            <w:tcBorders>
              <w:bottom w:val="single" w:sz="12" w:space="0" w:color="000000"/>
              <w:tl2br w:val="nil"/>
              <w:tr2bl w:val="nil"/>
            </w:tcBorders>
            <w:shd w:val="clear" w:color="auto" w:fill="FFFFFF"/>
            <w:vAlign w:val="center"/>
          </w:tcPr>
          <w:p w14:paraId="242464D7"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0.2573</w:t>
            </w:r>
          </w:p>
        </w:tc>
        <w:tc>
          <w:tcPr>
            <w:tcW w:w="1252" w:type="dxa"/>
            <w:tcBorders>
              <w:bottom w:val="single" w:sz="12" w:space="0" w:color="000000"/>
              <w:tl2br w:val="nil"/>
              <w:tr2bl w:val="nil"/>
            </w:tcBorders>
            <w:shd w:val="clear" w:color="auto" w:fill="FFFFFF"/>
            <w:noWrap/>
            <w:vAlign w:val="center"/>
          </w:tcPr>
          <w:p w14:paraId="233D595C"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0.2719</w:t>
            </w:r>
          </w:p>
        </w:tc>
        <w:tc>
          <w:tcPr>
            <w:tcW w:w="1577" w:type="dxa"/>
            <w:tcBorders>
              <w:bottom w:val="single" w:sz="12" w:space="0" w:color="000000"/>
              <w:tl2br w:val="nil"/>
              <w:tr2bl w:val="nil"/>
            </w:tcBorders>
            <w:shd w:val="clear" w:color="auto" w:fill="FFFFFF"/>
            <w:noWrap/>
            <w:vAlign w:val="center"/>
          </w:tcPr>
          <w:p w14:paraId="0399DC51" w14:textId="77777777" w:rsidR="0094480D" w:rsidRDefault="002B1EA5">
            <w:pPr>
              <w:widowControl/>
              <w:ind w:firstLineChars="0" w:firstLine="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0.1447</w:t>
            </w:r>
          </w:p>
        </w:tc>
      </w:tr>
    </w:tbl>
    <w:p w14:paraId="3266A743" w14:textId="77777777" w:rsidR="0094480D" w:rsidRDefault="002B1EA5">
      <w:pPr>
        <w:ind w:firstLine="480"/>
        <w:rPr>
          <w:sz w:val="24"/>
          <w:szCs w:val="22"/>
        </w:rPr>
      </w:pPr>
      <w:r>
        <w:rPr>
          <w:rFonts w:hint="eastAsia"/>
          <w:sz w:val="24"/>
          <w:szCs w:val="22"/>
        </w:rPr>
        <w:t>使用</w:t>
      </w:r>
      <w:r>
        <w:rPr>
          <w:rFonts w:hint="eastAsia"/>
          <w:sz w:val="24"/>
          <w:szCs w:val="22"/>
        </w:rPr>
        <w:t>SPSS</w:t>
      </w:r>
      <w:r>
        <w:rPr>
          <w:rFonts w:hint="eastAsia"/>
          <w:sz w:val="24"/>
          <w:szCs w:val="22"/>
        </w:rPr>
        <w:t>软件，分别计算当</w:t>
      </w:r>
      <w:r>
        <w:rPr>
          <w:rFonts w:hint="eastAsia"/>
          <w:sz w:val="24"/>
          <w:szCs w:val="22"/>
        </w:rPr>
        <w:t>e=1,...,5</w:t>
      </w:r>
      <w:r>
        <w:rPr>
          <w:rFonts w:hint="eastAsia"/>
          <w:sz w:val="24"/>
          <w:szCs w:val="22"/>
        </w:rPr>
        <w:t>时各指标的灰色评价系数，得到一级指标、二级指标灰色评价矩阵，最终得到一级指标权向量矩阵，构建整体综合评价矩阵</w:t>
      </w:r>
      <w:r>
        <w:rPr>
          <w:rFonts w:hint="eastAsia"/>
          <w:sz w:val="24"/>
          <w:szCs w:val="22"/>
        </w:rPr>
        <w:t>B</w:t>
      </w:r>
      <w:r>
        <w:rPr>
          <w:rFonts w:hint="eastAsia"/>
          <w:sz w:val="24"/>
          <w:szCs w:val="22"/>
        </w:rPr>
        <w:t>为：</w:t>
      </w:r>
    </w:p>
    <w:p w14:paraId="272B9147" w14:textId="77777777" w:rsidR="0094480D" w:rsidRDefault="002B1EA5">
      <w:pPr>
        <w:ind w:firstLineChars="0" w:firstLine="0"/>
        <w:rPr>
          <w:sz w:val="24"/>
          <w:szCs w:val="22"/>
        </w:rPr>
      </w:pPr>
      <m:oMathPara>
        <m:oMath>
          <m:r>
            <m:rPr>
              <m:sty m:val="p"/>
            </m:rPr>
            <w:rPr>
              <w:rFonts w:ascii="Cambria Math" w:hAnsi="Cambria Math"/>
              <w:sz w:val="24"/>
              <w:szCs w:val="22"/>
            </w:rPr>
            <m:t>B=</m:t>
          </m:r>
          <m:d>
            <m:dPr>
              <m:begChr m:val="{"/>
              <m:endChr m:val="}"/>
              <m:ctrlPr>
                <w:rPr>
                  <w:rFonts w:ascii="Cambria Math" w:hAnsi="Cambria Math"/>
                  <w:sz w:val="24"/>
                  <w:szCs w:val="22"/>
                </w:rPr>
              </m:ctrlPr>
            </m:dPr>
            <m:e>
              <m:r>
                <m:rPr>
                  <m:sty m:val="p"/>
                </m:rPr>
                <w:rPr>
                  <w:rFonts w:ascii="Cambria Math" w:hAnsi="Cambria Math" w:hint="eastAsia"/>
                  <w:sz w:val="24"/>
                  <w:szCs w:val="22"/>
                </w:rPr>
                <m:t>0.1386</m:t>
              </m:r>
              <m:r>
                <m:rPr>
                  <m:sty m:val="p"/>
                </m:rPr>
                <w:rPr>
                  <w:rFonts w:ascii="Cambria Math" w:hAnsi="Cambria Math" w:hint="eastAsia"/>
                  <w:sz w:val="24"/>
                  <w:szCs w:val="22"/>
                </w:rPr>
                <m:t>，</m:t>
              </m:r>
              <m:r>
                <m:rPr>
                  <m:sty m:val="p"/>
                </m:rPr>
                <w:rPr>
                  <w:rFonts w:ascii="Cambria Math" w:hAnsi="Cambria Math" w:hint="eastAsia"/>
                  <w:sz w:val="24"/>
                  <w:szCs w:val="22"/>
                </w:rPr>
                <m:t>0.2436</m:t>
              </m:r>
              <m:r>
                <m:rPr>
                  <m:sty m:val="p"/>
                </m:rPr>
                <w:rPr>
                  <w:rFonts w:ascii="Cambria Math" w:hAnsi="Cambria Math" w:hint="eastAsia"/>
                  <w:sz w:val="24"/>
                  <w:szCs w:val="22"/>
                </w:rPr>
                <m:t>，</m:t>
              </m:r>
              <m:r>
                <m:rPr>
                  <m:sty m:val="p"/>
                </m:rPr>
                <w:rPr>
                  <w:rFonts w:ascii="Cambria Math" w:hAnsi="Cambria Math" w:hint="eastAsia"/>
                  <w:sz w:val="24"/>
                  <w:szCs w:val="22"/>
                </w:rPr>
                <m:t>0.3581</m:t>
              </m:r>
              <m:r>
                <m:rPr>
                  <m:sty m:val="p"/>
                </m:rPr>
                <w:rPr>
                  <w:rFonts w:ascii="Cambria Math" w:hAnsi="Cambria Math" w:hint="eastAsia"/>
                  <w:sz w:val="24"/>
                  <w:szCs w:val="22"/>
                </w:rPr>
                <m:t>，</m:t>
              </m:r>
              <m:r>
                <m:rPr>
                  <m:sty m:val="p"/>
                </m:rPr>
                <w:rPr>
                  <w:rFonts w:ascii="Cambria Math" w:hAnsi="Cambria Math" w:hint="eastAsia"/>
                  <w:sz w:val="24"/>
                  <w:szCs w:val="22"/>
                </w:rPr>
                <m:t>0.2101</m:t>
              </m:r>
              <m:r>
                <m:rPr>
                  <m:sty m:val="p"/>
                </m:rPr>
                <w:rPr>
                  <w:rFonts w:ascii="Cambria Math" w:hAnsi="Cambria Math" w:hint="eastAsia"/>
                  <w:sz w:val="24"/>
                  <w:szCs w:val="22"/>
                </w:rPr>
                <m:t>，</m:t>
              </m:r>
              <m:r>
                <m:rPr>
                  <m:sty m:val="p"/>
                </m:rPr>
                <w:rPr>
                  <w:rFonts w:ascii="Cambria Math" w:hAnsi="Cambria Math" w:hint="eastAsia"/>
                  <w:sz w:val="24"/>
                  <w:szCs w:val="22"/>
                </w:rPr>
                <m:t>0.0496</m:t>
              </m:r>
            </m:e>
          </m:d>
        </m:oMath>
      </m:oMathPara>
    </w:p>
    <w:p w14:paraId="4D7125C3" w14:textId="77777777" w:rsidR="0094480D" w:rsidRDefault="002B1EA5">
      <w:pPr>
        <w:ind w:firstLine="480"/>
        <w:rPr>
          <w:sz w:val="24"/>
          <w:szCs w:val="22"/>
        </w:rPr>
      </w:pPr>
      <w:r>
        <w:rPr>
          <w:rFonts w:hint="eastAsia"/>
          <w:sz w:val="24"/>
          <w:szCs w:val="22"/>
        </w:rPr>
        <w:t>综合评价结果</w:t>
      </w:r>
      <w:r>
        <w:rPr>
          <w:rFonts w:hint="eastAsia"/>
          <w:sz w:val="24"/>
          <w:szCs w:val="22"/>
        </w:rPr>
        <w:t>Q</w:t>
      </w:r>
      <w:r>
        <w:rPr>
          <w:rFonts w:hint="eastAsia"/>
          <w:sz w:val="24"/>
          <w:szCs w:val="22"/>
        </w:rPr>
        <w:t>为：</w:t>
      </w:r>
    </w:p>
    <w:p w14:paraId="08C282EF" w14:textId="77777777" w:rsidR="0094480D" w:rsidRDefault="002B1EA5">
      <w:pPr>
        <w:ind w:firstLine="480"/>
        <w:rPr>
          <w:rFonts w:hAnsi="Cambria Math" w:cs="Cambria Math"/>
          <w:sz w:val="24"/>
          <w:szCs w:val="22"/>
        </w:rPr>
      </w:pPr>
      <m:oMath>
        <m:r>
          <m:rPr>
            <m:sty m:val="p"/>
          </m:rPr>
          <w:rPr>
            <w:rFonts w:ascii="Cambria Math" w:hAnsi="Cambria Math"/>
            <w:sz w:val="24"/>
            <w:szCs w:val="22"/>
          </w:rPr>
          <m:t>Q=</m:t>
        </m:r>
        <m:d>
          <m:dPr>
            <m:begChr m:val="{"/>
            <m:endChr m:val="}"/>
            <m:ctrlPr>
              <w:rPr>
                <w:rFonts w:ascii="Cambria Math" w:hAnsi="Cambria Math"/>
                <w:sz w:val="24"/>
                <w:szCs w:val="22"/>
              </w:rPr>
            </m:ctrlPr>
          </m:dPr>
          <m:e>
            <m:r>
              <m:rPr>
                <m:sty m:val="p"/>
              </m:rPr>
              <w:rPr>
                <w:rFonts w:ascii="Cambria Math" w:hAnsi="Cambria Math" w:hint="eastAsia"/>
                <w:sz w:val="24"/>
                <w:szCs w:val="22"/>
              </w:rPr>
              <m:t>0.1386</m:t>
            </m:r>
            <m:r>
              <m:rPr>
                <m:sty m:val="p"/>
              </m:rPr>
              <w:rPr>
                <w:rFonts w:ascii="Cambria Math" w:hAnsi="Cambria Math" w:hint="eastAsia"/>
                <w:sz w:val="24"/>
                <w:szCs w:val="22"/>
              </w:rPr>
              <m:t>，</m:t>
            </m:r>
            <m:r>
              <m:rPr>
                <m:sty m:val="p"/>
              </m:rPr>
              <w:rPr>
                <w:rFonts w:ascii="Cambria Math" w:hAnsi="Cambria Math" w:hint="eastAsia"/>
                <w:sz w:val="24"/>
                <w:szCs w:val="22"/>
              </w:rPr>
              <m:t>0.2436</m:t>
            </m:r>
            <m:r>
              <m:rPr>
                <m:sty m:val="p"/>
              </m:rPr>
              <w:rPr>
                <w:rFonts w:ascii="Cambria Math" w:hAnsi="Cambria Math" w:hint="eastAsia"/>
                <w:sz w:val="24"/>
                <w:szCs w:val="22"/>
              </w:rPr>
              <m:t>，</m:t>
            </m:r>
            <m:r>
              <m:rPr>
                <m:sty m:val="p"/>
              </m:rPr>
              <w:rPr>
                <w:rFonts w:ascii="Cambria Math" w:hAnsi="Cambria Math" w:hint="eastAsia"/>
                <w:sz w:val="24"/>
                <w:szCs w:val="22"/>
              </w:rPr>
              <m:t>0.3581</m:t>
            </m:r>
            <m:r>
              <m:rPr>
                <m:sty m:val="p"/>
              </m:rPr>
              <w:rPr>
                <w:rFonts w:ascii="Cambria Math" w:hAnsi="Cambria Math" w:hint="eastAsia"/>
                <w:sz w:val="24"/>
                <w:szCs w:val="22"/>
              </w:rPr>
              <m:t>，</m:t>
            </m:r>
            <m:r>
              <m:rPr>
                <m:sty m:val="p"/>
              </m:rPr>
              <w:rPr>
                <w:rFonts w:ascii="Cambria Math" w:hAnsi="Cambria Math" w:hint="eastAsia"/>
                <w:sz w:val="24"/>
                <w:szCs w:val="22"/>
              </w:rPr>
              <m:t>0.2101</m:t>
            </m:r>
            <m:r>
              <m:rPr>
                <m:sty m:val="p"/>
              </m:rPr>
              <w:rPr>
                <w:rFonts w:ascii="Cambria Math" w:hAnsi="Cambria Math" w:hint="eastAsia"/>
                <w:sz w:val="24"/>
                <w:szCs w:val="22"/>
              </w:rPr>
              <m:t>，</m:t>
            </m:r>
            <m:r>
              <m:rPr>
                <m:sty m:val="p"/>
              </m:rPr>
              <w:rPr>
                <w:rFonts w:ascii="Cambria Math" w:hAnsi="Cambria Math" w:hint="eastAsia"/>
                <w:sz w:val="24"/>
                <w:szCs w:val="22"/>
              </w:rPr>
              <m:t>0.0496</m:t>
            </m:r>
          </m:e>
        </m:d>
        <m:d>
          <m:dPr>
            <m:begChr m:val="["/>
            <m:endChr m:val="]"/>
            <m:ctrlPr>
              <w:rPr>
                <w:rFonts w:ascii="Cambria Math" w:hAnsi="Cambria Math"/>
                <w:sz w:val="24"/>
                <w:szCs w:val="22"/>
              </w:rPr>
            </m:ctrlPr>
          </m:dPr>
          <m:e>
            <m:eqArr>
              <m:eqArrPr>
                <m:ctrlPr>
                  <w:rPr>
                    <w:rFonts w:ascii="Cambria Math" w:hAnsi="Cambria Math"/>
                    <w:sz w:val="24"/>
                    <w:szCs w:val="22"/>
                  </w:rPr>
                </m:ctrlPr>
              </m:eqArrPr>
              <m:e>
                <m:r>
                  <m:rPr>
                    <m:sty m:val="p"/>
                  </m:rPr>
                  <w:rPr>
                    <w:rFonts w:ascii="Cambria Math" w:hAnsi="Cambria Math"/>
                    <w:sz w:val="24"/>
                    <w:szCs w:val="22"/>
                  </w:rPr>
                  <m:t>10</m:t>
                </m:r>
              </m:e>
              <m:e>
                <m:r>
                  <m:rPr>
                    <m:sty m:val="p"/>
                  </m:rPr>
                  <w:rPr>
                    <w:rFonts w:ascii="Cambria Math" w:hAnsi="Cambria Math"/>
                    <w:sz w:val="24"/>
                    <w:szCs w:val="22"/>
                  </w:rPr>
                  <m:t>8</m:t>
                </m:r>
              </m:e>
              <m:e>
                <m:r>
                  <m:rPr>
                    <m:sty m:val="p"/>
                  </m:rPr>
                  <w:rPr>
                    <w:rFonts w:ascii="Cambria Math" w:hAnsi="Cambria Math"/>
                    <w:sz w:val="24"/>
                    <w:szCs w:val="22"/>
                  </w:rPr>
                  <m:t>6</m:t>
                </m:r>
              </m:e>
              <m:e>
                <m:r>
                  <m:rPr>
                    <m:sty m:val="p"/>
                  </m:rPr>
                  <w:rPr>
                    <w:rFonts w:ascii="Cambria Math" w:hAnsi="Cambria Math"/>
                    <w:sz w:val="24"/>
                    <w:szCs w:val="22"/>
                  </w:rPr>
                  <m:t>4</m:t>
                </m:r>
              </m:e>
              <m:e>
                <m:r>
                  <m:rPr>
                    <m:sty m:val="p"/>
                  </m:rPr>
                  <w:rPr>
                    <w:rFonts w:ascii="Cambria Math" w:hAnsi="Cambria Math"/>
                    <w:sz w:val="24"/>
                    <w:szCs w:val="22"/>
                  </w:rPr>
                  <m:t>2</m:t>
                </m:r>
              </m:e>
            </m:eqArr>
          </m:e>
        </m:d>
      </m:oMath>
      <w:r>
        <w:rPr>
          <w:rFonts w:hAnsi="Cambria Math" w:hint="eastAsia"/>
          <w:sz w:val="24"/>
          <w:szCs w:val="22"/>
        </w:rPr>
        <w:t>=6.423</w:t>
      </w:r>
    </w:p>
    <w:p w14:paraId="2925BD2E" w14:textId="77777777" w:rsidR="0094480D" w:rsidRDefault="002B1EA5">
      <w:pPr>
        <w:ind w:firstLine="480"/>
        <w:rPr>
          <w:sz w:val="24"/>
          <w:szCs w:val="22"/>
        </w:rPr>
      </w:pPr>
      <w:r>
        <w:rPr>
          <w:rFonts w:hint="eastAsia"/>
          <w:sz w:val="24"/>
          <w:szCs w:val="22"/>
        </w:rPr>
        <w:t>所得结果为</w:t>
      </w:r>
      <w:r>
        <w:rPr>
          <w:rFonts w:hint="eastAsia"/>
          <w:sz w:val="24"/>
          <w:szCs w:val="22"/>
        </w:rPr>
        <w:t>6.423</w:t>
      </w:r>
      <w:r>
        <w:rPr>
          <w:rFonts w:hint="eastAsia"/>
          <w:sz w:val="24"/>
          <w:szCs w:val="22"/>
        </w:rPr>
        <w:t>，证明该综合评价结果介于一般和较好之间。综合分析各个指标的数据，发现</w:t>
      </w:r>
      <w:r>
        <w:rPr>
          <w:rFonts w:hint="eastAsia"/>
          <w:sz w:val="24"/>
          <w:szCs w:val="22"/>
        </w:rPr>
        <w:t>A</w:t>
      </w:r>
      <w:r>
        <w:rPr>
          <w:rFonts w:hint="eastAsia"/>
          <w:sz w:val="24"/>
          <w:szCs w:val="22"/>
        </w:rPr>
        <w:t>绿色混凝土搅拌站在环境环保、经济效益、社会责任层面均有指标待改进。</w:t>
      </w:r>
    </w:p>
    <w:p w14:paraId="27D74396" w14:textId="77777777" w:rsidR="0094480D" w:rsidRDefault="002B1EA5">
      <w:pPr>
        <w:ind w:firstLine="480"/>
        <w:rPr>
          <w:sz w:val="24"/>
          <w:szCs w:val="22"/>
        </w:rPr>
      </w:pPr>
      <w:r>
        <w:rPr>
          <w:sz w:val="24"/>
          <w:szCs w:val="22"/>
        </w:rPr>
        <w:t>环境保护层面</w:t>
      </w:r>
      <w:r>
        <w:rPr>
          <w:rFonts w:hint="eastAsia"/>
          <w:sz w:val="24"/>
          <w:szCs w:val="22"/>
        </w:rPr>
        <w:t>：</w:t>
      </w:r>
      <w:r>
        <w:rPr>
          <w:sz w:val="24"/>
          <w:szCs w:val="22"/>
        </w:rPr>
        <w:t>搅拌站可以</w:t>
      </w:r>
      <w:r>
        <w:rPr>
          <w:rFonts w:hint="eastAsia"/>
          <w:sz w:val="24"/>
          <w:szCs w:val="22"/>
        </w:rPr>
        <w:t>引入</w:t>
      </w:r>
      <w:r>
        <w:rPr>
          <w:sz w:val="24"/>
          <w:szCs w:val="22"/>
        </w:rPr>
        <w:t>高效率电动机和节能照明系统</w:t>
      </w:r>
      <w:r>
        <w:rPr>
          <w:rFonts w:hint="eastAsia"/>
          <w:sz w:val="24"/>
          <w:szCs w:val="22"/>
        </w:rPr>
        <w:t>，</w:t>
      </w:r>
      <w:r>
        <w:rPr>
          <w:sz w:val="24"/>
          <w:szCs w:val="22"/>
        </w:rPr>
        <w:t>探索可再生能源的使用，如太阳能和风能，减少对传统能源的依赖。为提高循环利用率，建议加强废弃混凝土的回收和再利用。可以通过建立废料分类处理系统，将废弃混凝土破碎后用作新混凝土的骨料或道路建设材料。</w:t>
      </w:r>
    </w:p>
    <w:p w14:paraId="08489BFA" w14:textId="77777777" w:rsidR="0094480D" w:rsidRDefault="002B1EA5">
      <w:pPr>
        <w:ind w:firstLine="480"/>
        <w:rPr>
          <w:sz w:val="24"/>
          <w:szCs w:val="22"/>
        </w:rPr>
      </w:pPr>
      <w:r>
        <w:rPr>
          <w:sz w:val="24"/>
          <w:szCs w:val="22"/>
        </w:rPr>
        <w:t>经济效益层面</w:t>
      </w:r>
      <w:r>
        <w:rPr>
          <w:rFonts w:hint="eastAsia"/>
          <w:sz w:val="24"/>
          <w:szCs w:val="22"/>
        </w:rPr>
        <w:t>需要进一步</w:t>
      </w:r>
      <w:r>
        <w:rPr>
          <w:sz w:val="24"/>
          <w:szCs w:val="22"/>
        </w:rPr>
        <w:t>增强经济增长潜力</w:t>
      </w:r>
      <w:r>
        <w:rPr>
          <w:rFonts w:hint="eastAsia"/>
          <w:sz w:val="24"/>
          <w:szCs w:val="22"/>
        </w:rPr>
        <w:t>，</w:t>
      </w:r>
      <w:r>
        <w:rPr>
          <w:rFonts w:hint="eastAsia"/>
          <w:sz w:val="24"/>
          <w:szCs w:val="22"/>
        </w:rPr>
        <w:t>A</w:t>
      </w:r>
      <w:r>
        <w:rPr>
          <w:rFonts w:hint="eastAsia"/>
          <w:sz w:val="24"/>
          <w:szCs w:val="22"/>
        </w:rPr>
        <w:t>绿色混凝土搅拌站需要</w:t>
      </w:r>
      <w:r>
        <w:rPr>
          <w:sz w:val="24"/>
          <w:szCs w:val="22"/>
        </w:rPr>
        <w:t>拓展市场、提高产品质量和服务水平。开发新</w:t>
      </w:r>
      <w:r>
        <w:rPr>
          <w:sz w:val="24"/>
          <w:szCs w:val="22"/>
        </w:rPr>
        <w:t>的混凝土产品，以满足市场多样化需求。</w:t>
      </w:r>
    </w:p>
    <w:p w14:paraId="64946810" w14:textId="77777777" w:rsidR="0094480D" w:rsidRDefault="002B1EA5">
      <w:pPr>
        <w:ind w:firstLine="480"/>
        <w:rPr>
          <w:sz w:val="24"/>
          <w:szCs w:val="22"/>
        </w:rPr>
      </w:pPr>
      <w:r>
        <w:rPr>
          <w:sz w:val="24"/>
          <w:szCs w:val="22"/>
        </w:rPr>
        <w:t>社会责任层面：在社会参与和支持方面，</w:t>
      </w:r>
      <w:r>
        <w:rPr>
          <w:rFonts w:hint="eastAsia"/>
          <w:sz w:val="24"/>
          <w:szCs w:val="22"/>
        </w:rPr>
        <w:t>A</w:t>
      </w:r>
      <w:r>
        <w:rPr>
          <w:rFonts w:hint="eastAsia"/>
          <w:sz w:val="24"/>
          <w:szCs w:val="22"/>
        </w:rPr>
        <w:t>绿色混凝土</w:t>
      </w:r>
      <w:r>
        <w:rPr>
          <w:sz w:val="24"/>
          <w:szCs w:val="22"/>
        </w:rPr>
        <w:t>搅拌站可以通过举办公开日、参与公益活动和与当地教育机构合作等方式，增强与社区的联系和影响力。</w:t>
      </w:r>
      <w:r>
        <w:rPr>
          <w:rFonts w:hint="eastAsia"/>
          <w:sz w:val="24"/>
          <w:szCs w:val="22"/>
        </w:rPr>
        <w:t>在</w:t>
      </w:r>
      <w:r>
        <w:rPr>
          <w:sz w:val="24"/>
          <w:szCs w:val="22"/>
        </w:rPr>
        <w:t>保证工作环境安全</w:t>
      </w:r>
      <w:r>
        <w:rPr>
          <w:rFonts w:hint="eastAsia"/>
          <w:sz w:val="24"/>
          <w:szCs w:val="22"/>
        </w:rPr>
        <w:t>的基础上</w:t>
      </w:r>
      <w:r>
        <w:rPr>
          <w:sz w:val="24"/>
          <w:szCs w:val="22"/>
        </w:rPr>
        <w:t>，</w:t>
      </w:r>
      <w:r>
        <w:rPr>
          <w:rFonts w:hint="eastAsia"/>
          <w:sz w:val="24"/>
          <w:szCs w:val="22"/>
        </w:rPr>
        <w:t>还</w:t>
      </w:r>
      <w:r>
        <w:rPr>
          <w:sz w:val="24"/>
          <w:szCs w:val="22"/>
        </w:rPr>
        <w:t>需定期对员工进行安全培训，确保</w:t>
      </w:r>
      <w:r>
        <w:rPr>
          <w:rFonts w:hint="eastAsia"/>
          <w:sz w:val="24"/>
          <w:szCs w:val="22"/>
        </w:rPr>
        <w:t>员工</w:t>
      </w:r>
      <w:r>
        <w:rPr>
          <w:sz w:val="24"/>
          <w:szCs w:val="22"/>
        </w:rPr>
        <w:t>了解和掌握安全操作规程。</w:t>
      </w:r>
      <w:r>
        <w:rPr>
          <w:rFonts w:hint="eastAsia"/>
          <w:sz w:val="24"/>
          <w:szCs w:val="22"/>
        </w:rPr>
        <w:t>总之，</w:t>
      </w:r>
      <w:r>
        <w:rPr>
          <w:rFonts w:hint="eastAsia"/>
          <w:sz w:val="24"/>
          <w:szCs w:val="22"/>
        </w:rPr>
        <w:t>A</w:t>
      </w:r>
      <w:r>
        <w:rPr>
          <w:rFonts w:hint="eastAsia"/>
          <w:sz w:val="24"/>
          <w:szCs w:val="22"/>
        </w:rPr>
        <w:t>搅拌站应该从“节能、高效、环保、美观”八字方针入手，实现搅拌站真正的环保化，打造新型的环保节能型绿色混凝土搅拌站。</w:t>
      </w:r>
    </w:p>
    <w:p w14:paraId="2C690807" w14:textId="77777777" w:rsidR="0094480D" w:rsidRDefault="002B1EA5">
      <w:pPr>
        <w:pStyle w:val="1"/>
        <w:spacing w:before="156" w:after="156"/>
      </w:pPr>
      <w:r>
        <w:rPr>
          <w:rFonts w:hint="eastAsia"/>
        </w:rPr>
        <w:lastRenderedPageBreak/>
        <w:t>4</w:t>
      </w:r>
      <w:r>
        <w:rPr>
          <w:rFonts w:hint="eastAsia"/>
        </w:rPr>
        <w:t>结论</w:t>
      </w:r>
    </w:p>
    <w:p w14:paraId="5465C2B1" w14:textId="77777777" w:rsidR="0094480D" w:rsidRDefault="002B1EA5">
      <w:pPr>
        <w:ind w:firstLine="480"/>
        <w:rPr>
          <w:sz w:val="24"/>
          <w:szCs w:val="22"/>
        </w:rPr>
      </w:pPr>
      <w:r>
        <w:rPr>
          <w:rFonts w:hint="eastAsia"/>
          <w:sz w:val="24"/>
          <w:szCs w:val="22"/>
        </w:rPr>
        <w:t>1</w:t>
      </w:r>
      <w:r>
        <w:rPr>
          <w:rFonts w:hint="eastAsia"/>
          <w:sz w:val="24"/>
          <w:szCs w:val="22"/>
        </w:rPr>
        <w:t>）在当前建筑行业持续追求可持续发展和环境保护的大背景下，构建一个绿色混凝土搅拌站的综合评价模型显得尤为重要。综合评价模型需要很好地指导搅拌站在绿色建筑材料生产方面的优化，进而推动整个建筑行业的绿色转型。</w:t>
      </w:r>
    </w:p>
    <w:p w14:paraId="5EEAEB72" w14:textId="77777777" w:rsidR="0094480D" w:rsidRDefault="002B1EA5">
      <w:pPr>
        <w:ind w:firstLine="480"/>
        <w:rPr>
          <w:sz w:val="24"/>
          <w:szCs w:val="22"/>
        </w:rPr>
      </w:pPr>
      <w:r>
        <w:rPr>
          <w:rFonts w:hint="eastAsia"/>
          <w:sz w:val="24"/>
          <w:szCs w:val="22"/>
        </w:rPr>
        <w:t>2</w:t>
      </w:r>
      <w:r>
        <w:rPr>
          <w:rFonts w:hint="eastAsia"/>
          <w:sz w:val="24"/>
          <w:szCs w:val="22"/>
        </w:rPr>
        <w:t>）基于灰色系统理论，针对绿色混凝土搅拌站的多维特性，建立了一个全面的指标体系。这个体系覆盖了环境效益、经济性能和社会责任等关键维度，确保了评价的全面性和科学性。基于灰色系统理论构建了一个综合评价模型，以量化地评估搅拌站的整体表现。</w:t>
      </w:r>
    </w:p>
    <w:p w14:paraId="75576ADF" w14:textId="77777777" w:rsidR="0094480D" w:rsidRDefault="002B1EA5">
      <w:pPr>
        <w:ind w:firstLine="480"/>
        <w:rPr>
          <w:sz w:val="24"/>
          <w:szCs w:val="22"/>
        </w:rPr>
      </w:pPr>
      <w:r>
        <w:rPr>
          <w:rFonts w:hint="eastAsia"/>
          <w:sz w:val="24"/>
          <w:szCs w:val="22"/>
        </w:rPr>
        <w:t>3</w:t>
      </w:r>
      <w:r>
        <w:rPr>
          <w:rFonts w:hint="eastAsia"/>
          <w:sz w:val="24"/>
          <w:szCs w:val="22"/>
        </w:rPr>
        <w:t>）通过对江苏省的</w:t>
      </w:r>
      <w:r>
        <w:rPr>
          <w:rFonts w:hint="eastAsia"/>
          <w:sz w:val="24"/>
          <w:szCs w:val="22"/>
        </w:rPr>
        <w:t>A</w:t>
      </w:r>
      <w:r>
        <w:rPr>
          <w:rFonts w:hint="eastAsia"/>
          <w:sz w:val="24"/>
          <w:szCs w:val="22"/>
        </w:rPr>
        <w:t>绿色混凝土搅拌站进行案例分析，验证了所构建评价模型的</w:t>
      </w:r>
      <w:r>
        <w:rPr>
          <w:rFonts w:hint="eastAsia"/>
          <w:sz w:val="24"/>
          <w:szCs w:val="22"/>
        </w:rPr>
        <w:t>有效性。结果表明，</w:t>
      </w:r>
      <w:r>
        <w:rPr>
          <w:rFonts w:hint="eastAsia"/>
          <w:sz w:val="24"/>
          <w:szCs w:val="22"/>
        </w:rPr>
        <w:t>A</w:t>
      </w:r>
      <w:r>
        <w:rPr>
          <w:rFonts w:hint="eastAsia"/>
          <w:sz w:val="24"/>
          <w:szCs w:val="22"/>
        </w:rPr>
        <w:t>搅拌站在多个维度上的综合评价介于一般和较好之间，验证了评价模型在实际应用中的准确性和实用性，并针对</w:t>
      </w:r>
      <w:r>
        <w:rPr>
          <w:rFonts w:hint="eastAsia"/>
          <w:sz w:val="24"/>
          <w:szCs w:val="22"/>
        </w:rPr>
        <w:t>A</w:t>
      </w:r>
      <w:r>
        <w:rPr>
          <w:rFonts w:hint="eastAsia"/>
          <w:sz w:val="24"/>
          <w:szCs w:val="22"/>
        </w:rPr>
        <w:t>搅拌站表现较差的指标提出了改进建议。</w:t>
      </w:r>
    </w:p>
    <w:p w14:paraId="35ABF3E2" w14:textId="77777777" w:rsidR="0094480D" w:rsidRDefault="002B1EA5">
      <w:pPr>
        <w:pStyle w:val="1"/>
        <w:spacing w:before="156" w:after="156"/>
      </w:pPr>
      <w:r>
        <w:rPr>
          <w:rFonts w:hint="eastAsia"/>
        </w:rPr>
        <w:t>参考文献</w:t>
      </w:r>
    </w:p>
    <w:p w14:paraId="20B7FD25" w14:textId="77777777" w:rsidR="0094480D" w:rsidRDefault="002B1EA5">
      <w:pPr>
        <w:ind w:firstLine="420"/>
        <w:rPr>
          <w:sz w:val="21"/>
          <w:szCs w:val="20"/>
        </w:rPr>
      </w:pPr>
      <w:r>
        <w:rPr>
          <w:rFonts w:hint="eastAsia"/>
          <w:sz w:val="21"/>
          <w:szCs w:val="20"/>
        </w:rPr>
        <w:t>[1]</w:t>
      </w:r>
      <w:r>
        <w:rPr>
          <w:rFonts w:hint="eastAsia"/>
          <w:sz w:val="21"/>
          <w:szCs w:val="20"/>
        </w:rPr>
        <w:t>宋青华</w:t>
      </w:r>
      <w:r>
        <w:rPr>
          <w:rFonts w:hint="eastAsia"/>
          <w:sz w:val="21"/>
          <w:szCs w:val="20"/>
        </w:rPr>
        <w:t>.</w:t>
      </w:r>
      <w:r>
        <w:rPr>
          <w:rFonts w:hint="eastAsia"/>
          <w:sz w:val="21"/>
          <w:szCs w:val="20"/>
        </w:rPr>
        <w:t>基于灰色理论的公共管网工程项目建设评价研究</w:t>
      </w:r>
      <w:r>
        <w:rPr>
          <w:rFonts w:hint="eastAsia"/>
          <w:sz w:val="21"/>
          <w:szCs w:val="20"/>
        </w:rPr>
        <w:t>[D].</w:t>
      </w:r>
      <w:r>
        <w:rPr>
          <w:rFonts w:hint="eastAsia"/>
          <w:sz w:val="21"/>
          <w:szCs w:val="20"/>
        </w:rPr>
        <w:t>昆明理工大学</w:t>
      </w:r>
      <w:r>
        <w:rPr>
          <w:rFonts w:hint="eastAsia"/>
          <w:sz w:val="21"/>
          <w:szCs w:val="20"/>
        </w:rPr>
        <w:t>,2022.</w:t>
      </w:r>
    </w:p>
    <w:p w14:paraId="4D773853" w14:textId="77777777" w:rsidR="0094480D" w:rsidRDefault="002B1EA5">
      <w:pPr>
        <w:ind w:firstLine="420"/>
        <w:rPr>
          <w:sz w:val="21"/>
          <w:szCs w:val="20"/>
        </w:rPr>
      </w:pPr>
      <w:r>
        <w:rPr>
          <w:rFonts w:hint="eastAsia"/>
          <w:sz w:val="21"/>
          <w:szCs w:val="20"/>
        </w:rPr>
        <w:t>Song Q</w:t>
      </w:r>
      <w:r>
        <w:rPr>
          <w:rFonts w:hint="eastAsia"/>
          <w:sz w:val="21"/>
          <w:szCs w:val="20"/>
        </w:rPr>
        <w:t xml:space="preserve"> H</w:t>
      </w:r>
      <w:r>
        <w:rPr>
          <w:rFonts w:hint="eastAsia"/>
          <w:sz w:val="21"/>
          <w:szCs w:val="20"/>
        </w:rPr>
        <w:t>. Research on the Construction Evaluation of Public Pipeline Network Projects Based on Grey Theory [D]. Kunming Univers</w:t>
      </w:r>
      <w:r>
        <w:rPr>
          <w:rFonts w:hint="eastAsia"/>
          <w:sz w:val="21"/>
          <w:szCs w:val="20"/>
        </w:rPr>
        <w:t>ity of Science and Technology, 2022.</w:t>
      </w:r>
    </w:p>
    <w:p w14:paraId="71B8B7B8" w14:textId="77777777" w:rsidR="0094480D" w:rsidRDefault="002B1EA5">
      <w:pPr>
        <w:ind w:firstLine="420"/>
        <w:rPr>
          <w:sz w:val="21"/>
          <w:szCs w:val="20"/>
        </w:rPr>
      </w:pPr>
      <w:r>
        <w:rPr>
          <w:rFonts w:hint="eastAsia"/>
          <w:sz w:val="21"/>
          <w:szCs w:val="20"/>
        </w:rPr>
        <w:t>[2]</w:t>
      </w:r>
      <w:r>
        <w:rPr>
          <w:sz w:val="21"/>
          <w:szCs w:val="20"/>
        </w:rPr>
        <w:t>李礼</w:t>
      </w:r>
      <w:r>
        <w:rPr>
          <w:sz w:val="21"/>
          <w:szCs w:val="20"/>
        </w:rPr>
        <w:t>.</w:t>
      </w:r>
      <w:r>
        <w:rPr>
          <w:sz w:val="21"/>
          <w:szCs w:val="20"/>
        </w:rPr>
        <w:t>建筑材料绿色性的</w:t>
      </w:r>
      <w:r>
        <w:rPr>
          <w:sz w:val="21"/>
          <w:szCs w:val="20"/>
        </w:rPr>
        <w:t xml:space="preserve"> 6E </w:t>
      </w:r>
      <w:r>
        <w:rPr>
          <w:sz w:val="21"/>
          <w:szCs w:val="20"/>
        </w:rPr>
        <w:t>综合评价体系研究</w:t>
      </w:r>
      <w:r>
        <w:rPr>
          <w:sz w:val="21"/>
          <w:szCs w:val="20"/>
        </w:rPr>
        <w:t>.</w:t>
      </w:r>
      <w:r>
        <w:rPr>
          <w:sz w:val="21"/>
          <w:szCs w:val="20"/>
        </w:rPr>
        <w:t>大连理工大学博士学位论文</w:t>
      </w:r>
      <w:r>
        <w:rPr>
          <w:rFonts w:hint="eastAsia"/>
          <w:sz w:val="21"/>
          <w:szCs w:val="20"/>
        </w:rPr>
        <w:t>，</w:t>
      </w:r>
      <w:r>
        <w:rPr>
          <w:sz w:val="21"/>
          <w:szCs w:val="20"/>
        </w:rPr>
        <w:t>2012.</w:t>
      </w:r>
    </w:p>
    <w:p w14:paraId="566CF971" w14:textId="77777777" w:rsidR="0094480D" w:rsidRDefault="002B1EA5">
      <w:pPr>
        <w:ind w:firstLine="420"/>
        <w:rPr>
          <w:sz w:val="21"/>
          <w:szCs w:val="20"/>
        </w:rPr>
      </w:pPr>
      <w:r>
        <w:rPr>
          <w:sz w:val="21"/>
          <w:szCs w:val="20"/>
        </w:rPr>
        <w:t>Li L. Research on the 6E Comprehensive Evaluation System of Greenness in Building Materials. Doctoral Dissertation, Dalian University of Technology, 2012.</w:t>
      </w:r>
    </w:p>
    <w:p w14:paraId="2DAA3799" w14:textId="77777777" w:rsidR="0094480D" w:rsidRDefault="002B1EA5">
      <w:pPr>
        <w:ind w:firstLine="420"/>
        <w:rPr>
          <w:sz w:val="21"/>
          <w:szCs w:val="20"/>
        </w:rPr>
      </w:pPr>
      <w:r>
        <w:rPr>
          <w:rFonts w:hint="eastAsia"/>
          <w:sz w:val="21"/>
          <w:szCs w:val="20"/>
        </w:rPr>
        <w:t>[3]</w:t>
      </w:r>
      <w:r>
        <w:rPr>
          <w:rFonts w:hint="eastAsia"/>
          <w:sz w:val="21"/>
          <w:szCs w:val="20"/>
        </w:rPr>
        <w:t>李军</w:t>
      </w:r>
      <w:r>
        <w:rPr>
          <w:rFonts w:hint="eastAsia"/>
          <w:sz w:val="21"/>
          <w:szCs w:val="20"/>
        </w:rPr>
        <w:t>.</w:t>
      </w:r>
      <w:r>
        <w:rPr>
          <w:rFonts w:hint="eastAsia"/>
          <w:sz w:val="21"/>
          <w:szCs w:val="20"/>
        </w:rPr>
        <w:t>绿色混凝土搅拌站研究及发</w:t>
      </w:r>
      <w:r>
        <w:rPr>
          <w:rFonts w:hint="eastAsia"/>
          <w:sz w:val="21"/>
          <w:szCs w:val="20"/>
        </w:rPr>
        <w:t>展方向</w:t>
      </w:r>
      <w:r>
        <w:rPr>
          <w:rFonts w:hint="eastAsia"/>
          <w:sz w:val="21"/>
          <w:szCs w:val="20"/>
        </w:rPr>
        <w:t>[J].</w:t>
      </w:r>
      <w:r>
        <w:rPr>
          <w:rFonts w:hint="eastAsia"/>
          <w:sz w:val="21"/>
          <w:szCs w:val="20"/>
        </w:rPr>
        <w:t>建设机械技术与管理</w:t>
      </w:r>
      <w:r>
        <w:rPr>
          <w:rFonts w:hint="eastAsia"/>
          <w:sz w:val="21"/>
          <w:szCs w:val="20"/>
        </w:rPr>
        <w:t>,2021,34(04):55-57.</w:t>
      </w:r>
    </w:p>
    <w:p w14:paraId="7623B05C" w14:textId="77777777" w:rsidR="0094480D" w:rsidRDefault="002B1EA5">
      <w:pPr>
        <w:ind w:firstLine="420"/>
        <w:rPr>
          <w:sz w:val="21"/>
          <w:szCs w:val="20"/>
        </w:rPr>
      </w:pPr>
      <w:r>
        <w:rPr>
          <w:rFonts w:hint="eastAsia"/>
          <w:sz w:val="21"/>
          <w:szCs w:val="20"/>
        </w:rPr>
        <w:t>Li J. Research and Development Directions of Green Concrete Mixing Stations [J]. Construction Machinery Technology and Management, 2021, 34(04): 55-57.</w:t>
      </w:r>
    </w:p>
    <w:p w14:paraId="5231BA13" w14:textId="77777777" w:rsidR="0094480D" w:rsidRDefault="002B1EA5">
      <w:pPr>
        <w:ind w:firstLine="420"/>
        <w:rPr>
          <w:sz w:val="21"/>
          <w:szCs w:val="20"/>
        </w:rPr>
      </w:pPr>
      <w:r>
        <w:rPr>
          <w:rFonts w:hint="eastAsia"/>
          <w:sz w:val="21"/>
          <w:szCs w:val="20"/>
        </w:rPr>
        <w:t>[4]</w:t>
      </w:r>
      <w:r>
        <w:rPr>
          <w:rFonts w:hint="eastAsia"/>
          <w:sz w:val="21"/>
          <w:szCs w:val="20"/>
        </w:rPr>
        <w:t>张虹莉</w:t>
      </w:r>
      <w:r>
        <w:rPr>
          <w:rFonts w:hint="eastAsia"/>
          <w:sz w:val="21"/>
          <w:szCs w:val="20"/>
        </w:rPr>
        <w:t>.</w:t>
      </w:r>
      <w:r>
        <w:rPr>
          <w:rFonts w:hint="eastAsia"/>
          <w:sz w:val="21"/>
          <w:szCs w:val="20"/>
        </w:rPr>
        <w:t>绿色环保技术在新型混凝土搅拌站中的应用研究</w:t>
      </w:r>
      <w:r>
        <w:rPr>
          <w:rFonts w:hint="eastAsia"/>
          <w:sz w:val="21"/>
          <w:szCs w:val="20"/>
        </w:rPr>
        <w:t>[D].</w:t>
      </w:r>
      <w:r>
        <w:rPr>
          <w:rFonts w:hint="eastAsia"/>
          <w:sz w:val="21"/>
          <w:szCs w:val="20"/>
        </w:rPr>
        <w:t>浙江工业大学</w:t>
      </w:r>
      <w:r>
        <w:rPr>
          <w:rFonts w:hint="eastAsia"/>
          <w:sz w:val="21"/>
          <w:szCs w:val="20"/>
        </w:rPr>
        <w:t>,2017.</w:t>
      </w:r>
    </w:p>
    <w:p w14:paraId="58BC4018" w14:textId="77777777" w:rsidR="0094480D" w:rsidRDefault="002B1EA5">
      <w:pPr>
        <w:ind w:firstLine="420"/>
        <w:rPr>
          <w:sz w:val="21"/>
          <w:szCs w:val="20"/>
        </w:rPr>
      </w:pPr>
      <w:r>
        <w:rPr>
          <w:rFonts w:hint="eastAsia"/>
          <w:sz w:val="21"/>
          <w:szCs w:val="20"/>
        </w:rPr>
        <w:t>Zhang H</w:t>
      </w:r>
      <w:r>
        <w:rPr>
          <w:rFonts w:hint="eastAsia"/>
          <w:sz w:val="21"/>
          <w:szCs w:val="20"/>
        </w:rPr>
        <w:t xml:space="preserve"> L</w:t>
      </w:r>
      <w:r>
        <w:rPr>
          <w:rFonts w:hint="eastAsia"/>
          <w:sz w:val="21"/>
          <w:szCs w:val="20"/>
        </w:rPr>
        <w:t xml:space="preserve"> Research on t</w:t>
      </w:r>
      <w:r>
        <w:rPr>
          <w:rFonts w:hint="eastAsia"/>
          <w:sz w:val="21"/>
          <w:szCs w:val="20"/>
        </w:rPr>
        <w:t>he Application of Green Environmental Protection Technology in New Concrete Mixing Stations [D]. Zhejiang University of Technology, 2017.</w:t>
      </w:r>
    </w:p>
    <w:p w14:paraId="48F3C6B7" w14:textId="77777777" w:rsidR="0094480D" w:rsidRDefault="002B1EA5">
      <w:pPr>
        <w:ind w:firstLine="420"/>
        <w:rPr>
          <w:sz w:val="21"/>
          <w:szCs w:val="20"/>
        </w:rPr>
      </w:pPr>
      <w:r>
        <w:rPr>
          <w:rFonts w:hint="eastAsia"/>
          <w:sz w:val="21"/>
          <w:szCs w:val="20"/>
        </w:rPr>
        <w:t>[5]</w:t>
      </w:r>
      <w:r>
        <w:rPr>
          <w:rFonts w:hint="eastAsia"/>
          <w:sz w:val="21"/>
          <w:szCs w:val="20"/>
        </w:rPr>
        <w:t>满丽莹</w:t>
      </w:r>
      <w:r>
        <w:rPr>
          <w:rFonts w:hint="eastAsia"/>
          <w:sz w:val="21"/>
          <w:szCs w:val="20"/>
        </w:rPr>
        <w:t>,</w:t>
      </w:r>
      <w:r>
        <w:rPr>
          <w:rFonts w:hint="eastAsia"/>
          <w:sz w:val="21"/>
          <w:szCs w:val="20"/>
        </w:rPr>
        <w:t>王裕银</w:t>
      </w:r>
      <w:r>
        <w:rPr>
          <w:rFonts w:hint="eastAsia"/>
          <w:sz w:val="21"/>
          <w:szCs w:val="20"/>
        </w:rPr>
        <w:t>,</w:t>
      </w:r>
      <w:r>
        <w:rPr>
          <w:rFonts w:hint="eastAsia"/>
          <w:sz w:val="21"/>
          <w:szCs w:val="20"/>
        </w:rPr>
        <w:t>李酉成等</w:t>
      </w:r>
      <w:r>
        <w:rPr>
          <w:rFonts w:hint="eastAsia"/>
          <w:sz w:val="21"/>
          <w:szCs w:val="20"/>
        </w:rPr>
        <w:t>.</w:t>
      </w:r>
      <w:r>
        <w:rPr>
          <w:rFonts w:hint="eastAsia"/>
          <w:sz w:val="21"/>
          <w:szCs w:val="20"/>
        </w:rPr>
        <w:t>绿色环保混凝土搅拌站的四废处理</w:t>
      </w:r>
      <w:r>
        <w:rPr>
          <w:rFonts w:hint="eastAsia"/>
          <w:sz w:val="21"/>
          <w:szCs w:val="20"/>
        </w:rPr>
        <w:t>[J].</w:t>
      </w:r>
      <w:r>
        <w:rPr>
          <w:rFonts w:hint="eastAsia"/>
          <w:sz w:val="21"/>
          <w:szCs w:val="20"/>
        </w:rPr>
        <w:t>混凝土与水泥制品</w:t>
      </w:r>
      <w:r>
        <w:rPr>
          <w:rFonts w:hint="eastAsia"/>
          <w:sz w:val="21"/>
          <w:szCs w:val="20"/>
        </w:rPr>
        <w:t>,2019,(10):84-86.</w:t>
      </w:r>
    </w:p>
    <w:p w14:paraId="4B1B26D5" w14:textId="77777777" w:rsidR="0094480D" w:rsidRDefault="002B1EA5">
      <w:pPr>
        <w:ind w:firstLine="420"/>
        <w:rPr>
          <w:sz w:val="21"/>
          <w:szCs w:val="20"/>
        </w:rPr>
      </w:pPr>
      <w:r>
        <w:rPr>
          <w:rFonts w:hint="eastAsia"/>
          <w:sz w:val="21"/>
          <w:szCs w:val="20"/>
        </w:rPr>
        <w:t>Man L</w:t>
      </w:r>
      <w:r>
        <w:rPr>
          <w:rFonts w:hint="eastAsia"/>
          <w:sz w:val="21"/>
          <w:szCs w:val="20"/>
        </w:rPr>
        <w:t xml:space="preserve"> Y</w:t>
      </w:r>
      <w:r>
        <w:rPr>
          <w:rFonts w:hint="eastAsia"/>
          <w:sz w:val="21"/>
          <w:szCs w:val="20"/>
        </w:rPr>
        <w:t>, Wang Yuyin, Li Youcheng, et al. Treatment of Fou</w:t>
      </w:r>
      <w:r>
        <w:rPr>
          <w:rFonts w:hint="eastAsia"/>
          <w:sz w:val="21"/>
          <w:szCs w:val="20"/>
        </w:rPr>
        <w:t>r Wastes in Green Environmental Concrete Mixing Stations [J]. Concrete and Cement Products, 2019, (10): 84-86.</w:t>
      </w:r>
    </w:p>
    <w:p w14:paraId="6BAD96BD" w14:textId="77777777" w:rsidR="0094480D" w:rsidRDefault="002B1EA5">
      <w:pPr>
        <w:ind w:firstLine="420"/>
        <w:rPr>
          <w:sz w:val="21"/>
          <w:szCs w:val="20"/>
        </w:rPr>
      </w:pPr>
      <w:r>
        <w:rPr>
          <w:rFonts w:hint="eastAsia"/>
          <w:sz w:val="21"/>
          <w:szCs w:val="20"/>
        </w:rPr>
        <w:lastRenderedPageBreak/>
        <w:t>[6]</w:t>
      </w:r>
      <w:r>
        <w:rPr>
          <w:rFonts w:hint="eastAsia"/>
          <w:sz w:val="21"/>
          <w:szCs w:val="20"/>
        </w:rPr>
        <w:t>宁雪莲</w:t>
      </w:r>
      <w:r>
        <w:rPr>
          <w:rFonts w:hint="eastAsia"/>
          <w:sz w:val="21"/>
          <w:szCs w:val="20"/>
        </w:rPr>
        <w:t>,</w:t>
      </w:r>
      <w:r>
        <w:rPr>
          <w:rFonts w:hint="eastAsia"/>
          <w:sz w:val="21"/>
          <w:szCs w:val="20"/>
        </w:rPr>
        <w:t>李祖辉</w:t>
      </w:r>
      <w:r>
        <w:rPr>
          <w:rFonts w:hint="eastAsia"/>
          <w:sz w:val="21"/>
          <w:szCs w:val="20"/>
        </w:rPr>
        <w:t>,</w:t>
      </w:r>
      <w:r>
        <w:rPr>
          <w:rFonts w:hint="eastAsia"/>
          <w:sz w:val="21"/>
          <w:szCs w:val="20"/>
        </w:rPr>
        <w:t>张烨</w:t>
      </w:r>
      <w:r>
        <w:rPr>
          <w:rFonts w:hint="eastAsia"/>
          <w:sz w:val="21"/>
          <w:szCs w:val="20"/>
        </w:rPr>
        <w:t>.</w:t>
      </w:r>
      <w:r>
        <w:rPr>
          <w:rFonts w:hint="eastAsia"/>
          <w:sz w:val="21"/>
          <w:szCs w:val="20"/>
        </w:rPr>
        <w:t>绿色混凝土搅拌站的研究及展望</w:t>
      </w:r>
      <w:r>
        <w:rPr>
          <w:rFonts w:hint="eastAsia"/>
          <w:sz w:val="21"/>
          <w:szCs w:val="20"/>
        </w:rPr>
        <w:t>[J].</w:t>
      </w:r>
      <w:r>
        <w:rPr>
          <w:rFonts w:hint="eastAsia"/>
          <w:sz w:val="21"/>
          <w:szCs w:val="20"/>
        </w:rPr>
        <w:t>中国住宅设施</w:t>
      </w:r>
      <w:r>
        <w:rPr>
          <w:rFonts w:hint="eastAsia"/>
          <w:sz w:val="21"/>
          <w:szCs w:val="20"/>
        </w:rPr>
        <w:t>,2023,(07):67-69.</w:t>
      </w:r>
    </w:p>
    <w:p w14:paraId="7D7CB6EF" w14:textId="77777777" w:rsidR="0094480D" w:rsidRDefault="002B1EA5">
      <w:pPr>
        <w:ind w:firstLine="420"/>
        <w:rPr>
          <w:sz w:val="21"/>
          <w:szCs w:val="20"/>
        </w:rPr>
      </w:pPr>
      <w:r>
        <w:rPr>
          <w:rFonts w:hint="eastAsia"/>
          <w:sz w:val="21"/>
          <w:szCs w:val="20"/>
        </w:rPr>
        <w:t>Ning X</w:t>
      </w:r>
      <w:r>
        <w:rPr>
          <w:rFonts w:hint="eastAsia"/>
          <w:sz w:val="21"/>
          <w:szCs w:val="20"/>
        </w:rPr>
        <w:t xml:space="preserve"> L</w:t>
      </w:r>
      <w:r>
        <w:rPr>
          <w:rFonts w:hint="eastAsia"/>
          <w:sz w:val="21"/>
          <w:szCs w:val="20"/>
        </w:rPr>
        <w:t>, Li Z</w:t>
      </w:r>
      <w:r>
        <w:rPr>
          <w:rFonts w:hint="eastAsia"/>
          <w:sz w:val="21"/>
          <w:szCs w:val="20"/>
        </w:rPr>
        <w:t xml:space="preserve"> H</w:t>
      </w:r>
      <w:r>
        <w:rPr>
          <w:rFonts w:hint="eastAsia"/>
          <w:sz w:val="21"/>
          <w:szCs w:val="20"/>
        </w:rPr>
        <w:t>, Zhang Y. Research and Prospect of Green Concrete Mixing Stations</w:t>
      </w:r>
      <w:r>
        <w:rPr>
          <w:rFonts w:hint="eastAsia"/>
          <w:sz w:val="21"/>
          <w:szCs w:val="20"/>
        </w:rPr>
        <w:t xml:space="preserve"> [J].</w:t>
      </w:r>
      <w:r>
        <w:rPr>
          <w:rFonts w:hint="eastAsia"/>
          <w:sz w:val="21"/>
          <w:szCs w:val="20"/>
        </w:rPr>
        <w:t>Ch</w:t>
      </w:r>
      <w:r>
        <w:rPr>
          <w:rFonts w:hint="eastAsia"/>
          <w:sz w:val="21"/>
          <w:szCs w:val="20"/>
        </w:rPr>
        <w:t>ina Housing Facilities, 2023, (07): 67-69.</w:t>
      </w:r>
    </w:p>
    <w:p w14:paraId="3482ECC8" w14:textId="77777777" w:rsidR="0094480D" w:rsidRDefault="002B1EA5">
      <w:pPr>
        <w:ind w:firstLine="420"/>
        <w:rPr>
          <w:sz w:val="21"/>
          <w:szCs w:val="20"/>
        </w:rPr>
      </w:pPr>
      <w:r>
        <w:rPr>
          <w:rFonts w:hint="eastAsia"/>
          <w:sz w:val="21"/>
          <w:szCs w:val="20"/>
        </w:rPr>
        <w:t>[7]</w:t>
      </w:r>
      <w:r>
        <w:rPr>
          <w:rFonts w:hint="eastAsia"/>
          <w:sz w:val="21"/>
          <w:szCs w:val="20"/>
        </w:rPr>
        <w:t>冯岳</w:t>
      </w:r>
      <w:r>
        <w:rPr>
          <w:rFonts w:hint="eastAsia"/>
          <w:sz w:val="21"/>
          <w:szCs w:val="20"/>
        </w:rPr>
        <w:t>.S</w:t>
      </w:r>
      <w:r>
        <w:rPr>
          <w:rFonts w:hint="eastAsia"/>
          <w:sz w:val="21"/>
          <w:szCs w:val="20"/>
        </w:rPr>
        <w:t>预拌混凝土搅拌站绩效考核指标体系优化研究</w:t>
      </w:r>
      <w:r>
        <w:rPr>
          <w:rFonts w:hint="eastAsia"/>
          <w:sz w:val="21"/>
          <w:szCs w:val="20"/>
        </w:rPr>
        <w:t>[D].</w:t>
      </w:r>
      <w:r>
        <w:rPr>
          <w:rFonts w:hint="eastAsia"/>
          <w:sz w:val="21"/>
          <w:szCs w:val="20"/>
        </w:rPr>
        <w:t>苏州大学</w:t>
      </w:r>
      <w:r>
        <w:rPr>
          <w:rFonts w:hint="eastAsia"/>
          <w:sz w:val="21"/>
          <w:szCs w:val="20"/>
        </w:rPr>
        <w:t>,2021.</w:t>
      </w:r>
    </w:p>
    <w:p w14:paraId="1DC2752C" w14:textId="77777777" w:rsidR="0094480D" w:rsidRDefault="002B1EA5">
      <w:pPr>
        <w:ind w:firstLine="420"/>
        <w:rPr>
          <w:sz w:val="21"/>
          <w:szCs w:val="20"/>
        </w:rPr>
      </w:pPr>
      <w:r>
        <w:rPr>
          <w:rFonts w:hint="eastAsia"/>
          <w:sz w:val="21"/>
          <w:szCs w:val="20"/>
        </w:rPr>
        <w:t>Feng Y. Research on the Optimization of Performance Assessment Indicator System for S Premixed Concrete Mixing Stations [D]. Soochow University, 2021.</w:t>
      </w:r>
    </w:p>
    <w:p w14:paraId="4815DB85" w14:textId="77777777" w:rsidR="0094480D" w:rsidRDefault="0094480D">
      <w:pPr>
        <w:ind w:firstLine="560"/>
      </w:pPr>
    </w:p>
    <w:sectPr w:rsidR="009448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9D68" w14:textId="77777777" w:rsidR="002B1EA5" w:rsidRDefault="002B1EA5">
      <w:pPr>
        <w:spacing w:line="240" w:lineRule="auto"/>
        <w:ind w:firstLine="560"/>
      </w:pPr>
      <w:r>
        <w:separator/>
      </w:r>
    </w:p>
  </w:endnote>
  <w:endnote w:type="continuationSeparator" w:id="0">
    <w:p w14:paraId="664C66D1" w14:textId="77777777" w:rsidR="002B1EA5" w:rsidRDefault="002B1EA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881A" w14:textId="77777777" w:rsidR="0094480D" w:rsidRDefault="002B1EA5">
    <w:pPr>
      <w:pStyle w:val="a3"/>
      <w:ind w:firstLine="360"/>
    </w:pPr>
    <w:r>
      <w:rPr>
        <w:noProof/>
      </w:rPr>
      <mc:AlternateContent>
        <mc:Choice Requires="wps">
          <w:drawing>
            <wp:anchor distT="0" distB="0" distL="114300" distR="114300" simplePos="0" relativeHeight="251659264" behindDoc="0" locked="0" layoutInCell="1" allowOverlap="1" wp14:anchorId="73D9A505" wp14:editId="7F9CAED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EC8264" w14:textId="77777777" w:rsidR="0094480D" w:rsidRDefault="002B1EA5">
                          <w:pPr>
                            <w:pStyle w:val="a3"/>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9A50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38EC8264" w14:textId="77777777" w:rsidR="0094480D" w:rsidRDefault="002B1EA5">
                    <w:pPr>
                      <w:pStyle w:val="a3"/>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F5BC" w14:textId="77777777" w:rsidR="002B1EA5" w:rsidRDefault="002B1EA5">
      <w:pPr>
        <w:ind w:firstLine="560"/>
      </w:pPr>
      <w:r>
        <w:separator/>
      </w:r>
    </w:p>
  </w:footnote>
  <w:footnote w:type="continuationSeparator" w:id="0">
    <w:p w14:paraId="08B40314" w14:textId="77777777" w:rsidR="002B1EA5" w:rsidRDefault="002B1EA5">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xYzA1MGFiY2FiM2ZhYzllM2I2MTM3MTJmMWI3ZWEifQ=="/>
  </w:docVars>
  <w:rsids>
    <w:rsidRoot w:val="0094480D"/>
    <w:rsid w:val="002B1EA5"/>
    <w:rsid w:val="0094480D"/>
    <w:rsid w:val="0097505F"/>
    <w:rsid w:val="02D353B7"/>
    <w:rsid w:val="07133CDE"/>
    <w:rsid w:val="0961089A"/>
    <w:rsid w:val="09D973F0"/>
    <w:rsid w:val="0A18574B"/>
    <w:rsid w:val="0A763D12"/>
    <w:rsid w:val="0A796962"/>
    <w:rsid w:val="0B335F89"/>
    <w:rsid w:val="0D10137A"/>
    <w:rsid w:val="0FDF3286"/>
    <w:rsid w:val="108C1680"/>
    <w:rsid w:val="116404D3"/>
    <w:rsid w:val="12FA7286"/>
    <w:rsid w:val="15BC6FD7"/>
    <w:rsid w:val="15D06AC8"/>
    <w:rsid w:val="18D83F25"/>
    <w:rsid w:val="18ED2570"/>
    <w:rsid w:val="1AAE5354"/>
    <w:rsid w:val="1CC87CDF"/>
    <w:rsid w:val="1F7F7C9A"/>
    <w:rsid w:val="1FEE5E57"/>
    <w:rsid w:val="205E68D1"/>
    <w:rsid w:val="2250591D"/>
    <w:rsid w:val="242F6132"/>
    <w:rsid w:val="2B700840"/>
    <w:rsid w:val="2D0A773C"/>
    <w:rsid w:val="309612E7"/>
    <w:rsid w:val="328C4750"/>
    <w:rsid w:val="329F6573"/>
    <w:rsid w:val="34A05E30"/>
    <w:rsid w:val="34AC08B0"/>
    <w:rsid w:val="34BA7DBF"/>
    <w:rsid w:val="355952B9"/>
    <w:rsid w:val="368D0A96"/>
    <w:rsid w:val="36FA25D0"/>
    <w:rsid w:val="3B7C5CFE"/>
    <w:rsid w:val="3BDC22A4"/>
    <w:rsid w:val="3E5A4AB1"/>
    <w:rsid w:val="3E646581"/>
    <w:rsid w:val="3F2D25AC"/>
    <w:rsid w:val="41313092"/>
    <w:rsid w:val="42810F02"/>
    <w:rsid w:val="433230F1"/>
    <w:rsid w:val="4370420C"/>
    <w:rsid w:val="45FB3626"/>
    <w:rsid w:val="48B60321"/>
    <w:rsid w:val="49F4363E"/>
    <w:rsid w:val="4E505C4A"/>
    <w:rsid w:val="501C4F0D"/>
    <w:rsid w:val="507B1778"/>
    <w:rsid w:val="51941586"/>
    <w:rsid w:val="54274354"/>
    <w:rsid w:val="546E7D01"/>
    <w:rsid w:val="54E43766"/>
    <w:rsid w:val="55821CB6"/>
    <w:rsid w:val="56570A4D"/>
    <w:rsid w:val="5B422721"/>
    <w:rsid w:val="5BE51863"/>
    <w:rsid w:val="5C4636C1"/>
    <w:rsid w:val="5C5F2A28"/>
    <w:rsid w:val="62A23652"/>
    <w:rsid w:val="63F83144"/>
    <w:rsid w:val="644B40CF"/>
    <w:rsid w:val="644E0311"/>
    <w:rsid w:val="64AA0D11"/>
    <w:rsid w:val="664A237C"/>
    <w:rsid w:val="6A197E14"/>
    <w:rsid w:val="6C68355C"/>
    <w:rsid w:val="6DFC4E5C"/>
    <w:rsid w:val="6E444106"/>
    <w:rsid w:val="6FE95117"/>
    <w:rsid w:val="73D74EC9"/>
    <w:rsid w:val="76513180"/>
    <w:rsid w:val="76920142"/>
    <w:rsid w:val="776B4E59"/>
    <w:rsid w:val="7A150442"/>
    <w:rsid w:val="7C676B2C"/>
    <w:rsid w:val="7CF0181B"/>
    <w:rsid w:val="7D885400"/>
    <w:rsid w:val="7EF07864"/>
    <w:rsid w:val="7F18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9ED4B"/>
  <w15:docId w15:val="{DCD5D877-88CB-4908-A83F-2731EFD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562"/>
      <w:jc w:val="both"/>
    </w:pPr>
    <w:rPr>
      <w:kern w:val="2"/>
      <w:sz w:val="28"/>
      <w:szCs w:val="24"/>
    </w:rPr>
  </w:style>
  <w:style w:type="paragraph" w:styleId="1">
    <w:name w:val="heading 1"/>
    <w:basedOn w:val="a"/>
    <w:next w:val="a"/>
    <w:qFormat/>
    <w:pPr>
      <w:keepNext/>
      <w:keepLines/>
      <w:spacing w:beforeLines="50" w:before="50" w:afterLines="50" w:after="50" w:line="400" w:lineRule="exact"/>
      <w:ind w:firstLineChars="0" w:firstLine="0"/>
      <w:jc w:val="left"/>
      <w:outlineLvl w:val="0"/>
    </w:pPr>
    <w:rPr>
      <w:b/>
      <w:kern w:val="44"/>
      <w:sz w:val="30"/>
    </w:rPr>
  </w:style>
  <w:style w:type="paragraph" w:styleId="2">
    <w:name w:val="heading 2"/>
    <w:basedOn w:val="a"/>
    <w:next w:val="a"/>
    <w:link w:val="20"/>
    <w:unhideWhenUsed/>
    <w:qFormat/>
    <w:pPr>
      <w:ind w:firstLineChars="0" w:firstLine="0"/>
      <w:jc w:val="left"/>
      <w:outlineLvl w:val="1"/>
    </w:pPr>
    <w:rPr>
      <w:b/>
      <w:bCs/>
      <w:kern w:val="0"/>
      <w:szCs w:val="36"/>
    </w:rPr>
  </w:style>
  <w:style w:type="paragraph" w:styleId="3">
    <w:name w:val="heading 3"/>
    <w:basedOn w:val="a"/>
    <w:next w:val="a"/>
    <w:unhideWhenUsed/>
    <w:qFormat/>
    <w:pPr>
      <w:keepNext/>
      <w:keepLines/>
      <w:outlineLvl w:val="2"/>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customStyle="1" w:styleId="20">
    <w:name w:val="标题 2 字符"/>
    <w:link w:val="2"/>
    <w:qFormat/>
    <w:rPr>
      <w:rFonts w:ascii="Times New Roman" w:eastAsia="宋体" w:hAnsi="Times New Roman" w:cs="宋体"/>
      <w:b/>
      <w:bCs/>
      <w:kern w:val="0"/>
      <w:sz w:val="28"/>
      <w:szCs w:val="36"/>
      <w:lang w:bidi="ar"/>
    </w:rPr>
  </w:style>
  <w:style w:type="paragraph" w:customStyle="1" w:styleId="a8">
    <w:name w:val="副标题（参考文献等要求不统一时）"/>
    <w:basedOn w:val="a"/>
    <w:qFormat/>
    <w:pPr>
      <w:spacing w:beforeLines="50" w:before="50" w:afterLines="50" w:after="50"/>
      <w:ind w:firstLineChars="0" w:firstLine="0"/>
      <w:jc w:val="center"/>
    </w:pPr>
    <w:rPr>
      <w:rFonts w:eastAsia="黑体" w:hint="eastAsia"/>
      <w:sz w:val="32"/>
    </w:rPr>
  </w:style>
  <w:style w:type="character" w:customStyle="1" w:styleId="font21">
    <w:name w:val="font2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1532</Words>
  <Characters>8735</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3</cp:revision>
  <dcterms:created xsi:type="dcterms:W3CDTF">2022-12-15T08:15:00Z</dcterms:created>
  <dcterms:modified xsi:type="dcterms:W3CDTF">2024-02-23T02:40:00Z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3182BCC8F07F4F94840204787CF136C6_13</vt:lpwstr>
  </property>
</Properties>
</file>